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3201E9" w14:textId="77777777" w:rsidR="004E6D7E"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附件2：</w:t>
      </w:r>
    </w:p>
    <w:p w14:paraId="05803D70" w14:textId="77777777" w:rsidR="004E6D7E" w:rsidRDefault="004E6D7E">
      <w:pPr>
        <w:spacing w:line="540" w:lineRule="exact"/>
        <w:jc w:val="center"/>
        <w:rPr>
          <w:rFonts w:ascii="华文中宋" w:eastAsia="华文中宋" w:hAnsi="华文中宋" w:cs="宋体" w:hint="eastAsia"/>
          <w:b/>
          <w:kern w:val="0"/>
          <w:sz w:val="52"/>
          <w:szCs w:val="52"/>
        </w:rPr>
      </w:pPr>
    </w:p>
    <w:p w14:paraId="23C1937B" w14:textId="77777777" w:rsidR="004E6D7E" w:rsidRDefault="004E6D7E">
      <w:pPr>
        <w:spacing w:line="540" w:lineRule="exact"/>
        <w:jc w:val="center"/>
        <w:rPr>
          <w:rFonts w:ascii="华文中宋" w:eastAsia="华文中宋" w:hAnsi="华文中宋" w:cs="宋体" w:hint="eastAsia"/>
          <w:b/>
          <w:kern w:val="0"/>
          <w:sz w:val="52"/>
          <w:szCs w:val="52"/>
        </w:rPr>
      </w:pPr>
    </w:p>
    <w:p w14:paraId="5443AC73" w14:textId="77777777" w:rsidR="004E6D7E" w:rsidRPr="00922121" w:rsidRDefault="004E6D7E">
      <w:pPr>
        <w:spacing w:line="540" w:lineRule="exact"/>
        <w:jc w:val="center"/>
        <w:rPr>
          <w:rFonts w:ascii="华文中宋" w:eastAsia="华文中宋" w:hAnsi="华文中宋" w:cs="宋体" w:hint="eastAsia"/>
          <w:b/>
          <w:kern w:val="0"/>
          <w:sz w:val="52"/>
          <w:szCs w:val="52"/>
        </w:rPr>
      </w:pPr>
    </w:p>
    <w:p w14:paraId="433B9EA7" w14:textId="77777777" w:rsidR="004E6D7E" w:rsidRDefault="004E6D7E">
      <w:pPr>
        <w:spacing w:line="540" w:lineRule="exact"/>
        <w:jc w:val="center"/>
        <w:rPr>
          <w:rFonts w:ascii="华文中宋" w:eastAsia="华文中宋" w:hAnsi="华文中宋" w:cs="宋体" w:hint="eastAsia"/>
          <w:b/>
          <w:kern w:val="0"/>
          <w:sz w:val="52"/>
          <w:szCs w:val="52"/>
        </w:rPr>
      </w:pPr>
    </w:p>
    <w:p w14:paraId="61425591" w14:textId="77777777" w:rsidR="004E6D7E" w:rsidRDefault="004E6D7E">
      <w:pPr>
        <w:spacing w:line="540" w:lineRule="exact"/>
        <w:jc w:val="center"/>
        <w:rPr>
          <w:rFonts w:ascii="华文中宋" w:eastAsia="华文中宋" w:hAnsi="华文中宋" w:cs="宋体" w:hint="eastAsia"/>
          <w:b/>
          <w:kern w:val="0"/>
          <w:sz w:val="52"/>
          <w:szCs w:val="52"/>
        </w:rPr>
      </w:pPr>
    </w:p>
    <w:p w14:paraId="48D980E7" w14:textId="77777777" w:rsidR="004E6D7E" w:rsidRDefault="004E6D7E">
      <w:pPr>
        <w:spacing w:line="540" w:lineRule="exact"/>
        <w:jc w:val="center"/>
        <w:rPr>
          <w:rFonts w:ascii="华文中宋" w:eastAsia="华文中宋" w:hAnsi="华文中宋" w:cs="宋体" w:hint="eastAsia"/>
          <w:b/>
          <w:kern w:val="0"/>
          <w:sz w:val="52"/>
          <w:szCs w:val="52"/>
        </w:rPr>
      </w:pPr>
    </w:p>
    <w:p w14:paraId="5B3306F7" w14:textId="77777777" w:rsidR="004E6D7E"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项目支出绩效自评报告</w:t>
      </w:r>
    </w:p>
    <w:p w14:paraId="4F9F24E5" w14:textId="77777777" w:rsidR="004E6D7E" w:rsidRDefault="004E6D7E">
      <w:pPr>
        <w:spacing w:line="540" w:lineRule="exact"/>
        <w:jc w:val="center"/>
        <w:rPr>
          <w:rFonts w:ascii="华文中宋" w:eastAsia="华文中宋" w:hAnsi="华文中宋" w:cs="宋体" w:hint="eastAsia"/>
          <w:b/>
          <w:kern w:val="0"/>
          <w:sz w:val="52"/>
          <w:szCs w:val="52"/>
        </w:rPr>
      </w:pPr>
    </w:p>
    <w:p w14:paraId="27574600" w14:textId="77777777" w:rsidR="004E6D7E"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5A253B8D" w14:textId="77777777" w:rsidR="004E6D7E" w:rsidRDefault="004E6D7E">
      <w:pPr>
        <w:spacing w:line="540" w:lineRule="exact"/>
        <w:jc w:val="center"/>
        <w:rPr>
          <w:rFonts w:eastAsia="仿宋_GB2312" w:hAnsi="宋体" w:cs="宋体" w:hint="eastAsia"/>
          <w:kern w:val="0"/>
          <w:sz w:val="30"/>
          <w:szCs w:val="30"/>
        </w:rPr>
      </w:pPr>
    </w:p>
    <w:p w14:paraId="616A69FC" w14:textId="77777777" w:rsidR="004E6D7E" w:rsidRDefault="004E6D7E">
      <w:pPr>
        <w:spacing w:line="540" w:lineRule="exact"/>
        <w:jc w:val="center"/>
        <w:rPr>
          <w:rFonts w:eastAsia="仿宋_GB2312" w:hAnsi="宋体" w:cs="宋体" w:hint="eastAsia"/>
          <w:kern w:val="0"/>
          <w:sz w:val="30"/>
          <w:szCs w:val="30"/>
        </w:rPr>
      </w:pPr>
    </w:p>
    <w:p w14:paraId="4A70D99D" w14:textId="77777777" w:rsidR="004E6D7E" w:rsidRDefault="004E6D7E">
      <w:pPr>
        <w:spacing w:line="540" w:lineRule="exact"/>
        <w:jc w:val="center"/>
        <w:rPr>
          <w:rFonts w:eastAsia="仿宋_GB2312" w:hAnsi="宋体" w:cs="宋体" w:hint="eastAsia"/>
          <w:kern w:val="0"/>
          <w:sz w:val="30"/>
          <w:szCs w:val="30"/>
        </w:rPr>
      </w:pPr>
    </w:p>
    <w:p w14:paraId="6659398B" w14:textId="77777777" w:rsidR="004E6D7E" w:rsidRDefault="004E6D7E">
      <w:pPr>
        <w:spacing w:line="540" w:lineRule="exact"/>
        <w:jc w:val="center"/>
        <w:rPr>
          <w:rFonts w:eastAsia="仿宋_GB2312" w:hAnsi="宋体" w:cs="宋体" w:hint="eastAsia"/>
          <w:kern w:val="0"/>
          <w:sz w:val="30"/>
          <w:szCs w:val="30"/>
        </w:rPr>
      </w:pPr>
    </w:p>
    <w:p w14:paraId="08017DB7" w14:textId="77777777" w:rsidR="004E6D7E" w:rsidRDefault="004E6D7E">
      <w:pPr>
        <w:spacing w:line="540" w:lineRule="exact"/>
        <w:jc w:val="center"/>
        <w:rPr>
          <w:rFonts w:eastAsia="仿宋_GB2312" w:hAnsi="宋体" w:cs="宋体" w:hint="eastAsia"/>
          <w:kern w:val="0"/>
          <w:sz w:val="30"/>
          <w:szCs w:val="30"/>
        </w:rPr>
      </w:pPr>
    </w:p>
    <w:p w14:paraId="3C407E64" w14:textId="77777777" w:rsidR="004E6D7E" w:rsidRDefault="004E6D7E">
      <w:pPr>
        <w:spacing w:line="540" w:lineRule="exact"/>
        <w:jc w:val="center"/>
        <w:rPr>
          <w:rFonts w:eastAsia="仿宋_GB2312" w:hAnsi="宋体" w:cs="宋体" w:hint="eastAsia"/>
          <w:kern w:val="0"/>
          <w:sz w:val="30"/>
          <w:szCs w:val="30"/>
        </w:rPr>
      </w:pPr>
    </w:p>
    <w:p w14:paraId="113DA2EA" w14:textId="77777777" w:rsidR="004E6D7E" w:rsidRDefault="004E6D7E">
      <w:pPr>
        <w:spacing w:line="540" w:lineRule="exact"/>
        <w:rPr>
          <w:rFonts w:eastAsia="仿宋_GB2312" w:hAnsi="宋体" w:cs="宋体" w:hint="eastAsia"/>
          <w:kern w:val="0"/>
          <w:sz w:val="30"/>
          <w:szCs w:val="30"/>
        </w:rPr>
      </w:pPr>
    </w:p>
    <w:p w14:paraId="049FA3A8" w14:textId="77777777" w:rsidR="004E6D7E"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7B5623CB" w14:textId="77777777" w:rsidR="004E6D7E"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中央重大传染病防控补助资金</w:t>
      </w:r>
    </w:p>
    <w:p w14:paraId="32A812B1" w14:textId="77777777" w:rsidR="004E6D7E"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木垒</w:t>
      </w:r>
      <w:proofErr w:type="gramStart"/>
      <w:r>
        <w:rPr>
          <w:rStyle w:val="ad"/>
          <w:rFonts w:ascii="楷体" w:eastAsia="楷体" w:hAnsi="楷体" w:hint="eastAsia"/>
          <w:spacing w:val="-4"/>
          <w:sz w:val="28"/>
          <w:szCs w:val="28"/>
        </w:rPr>
        <w:t>县疾病</w:t>
      </w:r>
      <w:proofErr w:type="gramEnd"/>
      <w:r>
        <w:rPr>
          <w:rStyle w:val="ad"/>
          <w:rFonts w:ascii="楷体" w:eastAsia="楷体" w:hAnsi="楷体" w:hint="eastAsia"/>
          <w:spacing w:val="-4"/>
          <w:sz w:val="28"/>
          <w:szCs w:val="28"/>
        </w:rPr>
        <w:t>预防控制中心</w:t>
      </w:r>
    </w:p>
    <w:p w14:paraId="74E1D229" w14:textId="77777777" w:rsidR="004E6D7E"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木垒</w:t>
      </w:r>
      <w:proofErr w:type="gramStart"/>
      <w:r>
        <w:rPr>
          <w:rStyle w:val="ad"/>
          <w:rFonts w:ascii="楷体" w:eastAsia="楷体" w:hAnsi="楷体" w:hint="eastAsia"/>
          <w:spacing w:val="-4"/>
          <w:sz w:val="28"/>
          <w:szCs w:val="28"/>
        </w:rPr>
        <w:t>县疾病</w:t>
      </w:r>
      <w:proofErr w:type="gramEnd"/>
      <w:r>
        <w:rPr>
          <w:rStyle w:val="ad"/>
          <w:rFonts w:ascii="楷体" w:eastAsia="楷体" w:hAnsi="楷体" w:hint="eastAsia"/>
          <w:spacing w:val="-4"/>
          <w:sz w:val="28"/>
          <w:szCs w:val="28"/>
        </w:rPr>
        <w:t>预防控制中心</w:t>
      </w:r>
    </w:p>
    <w:p w14:paraId="16486223" w14:textId="77777777" w:rsidR="004E6D7E"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郭文波</w:t>
      </w:r>
    </w:p>
    <w:p w14:paraId="71E99A46" w14:textId="77777777" w:rsidR="004E6D7E"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2025年03月25日</w:t>
      </w:r>
    </w:p>
    <w:p w14:paraId="29D06D29" w14:textId="77777777" w:rsidR="004E6D7E" w:rsidRDefault="004E6D7E">
      <w:pPr>
        <w:spacing w:line="700" w:lineRule="exact"/>
        <w:ind w:firstLineChars="236" w:firstLine="708"/>
        <w:jc w:val="left"/>
        <w:rPr>
          <w:rFonts w:eastAsia="仿宋_GB2312" w:hAnsi="宋体" w:cs="宋体" w:hint="eastAsia"/>
          <w:kern w:val="0"/>
          <w:sz w:val="30"/>
          <w:szCs w:val="30"/>
        </w:rPr>
      </w:pPr>
    </w:p>
    <w:p w14:paraId="3BF88FF1" w14:textId="77777777" w:rsidR="004E6D7E" w:rsidRDefault="004E6D7E">
      <w:pPr>
        <w:spacing w:line="540" w:lineRule="exact"/>
        <w:rPr>
          <w:rStyle w:val="ad"/>
          <w:rFonts w:ascii="黑体" w:eastAsia="黑体" w:hAnsi="黑体" w:hint="eastAsia"/>
          <w:b w:val="0"/>
          <w:spacing w:val="-4"/>
          <w:sz w:val="32"/>
          <w:szCs w:val="32"/>
        </w:rPr>
      </w:pPr>
    </w:p>
    <w:p w14:paraId="49B6E66B" w14:textId="77777777" w:rsidR="004E6D7E"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08B276DC" w14:textId="77777777" w:rsidR="004E6D7E"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41867D2F" w14:textId="12CB8CF2" w:rsidR="004E6D7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1.项目背景</w:t>
      </w:r>
      <w:r>
        <w:rPr>
          <w:rStyle w:val="ad"/>
          <w:rFonts w:ascii="楷体" w:eastAsia="楷体" w:hAnsi="楷体" w:hint="eastAsia"/>
          <w:b w:val="0"/>
          <w:bCs w:val="0"/>
          <w:spacing w:val="-4"/>
          <w:sz w:val="32"/>
          <w:szCs w:val="32"/>
        </w:rPr>
        <w:br/>
        <w:t>依据昌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（2023）78号、昌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【2024】4号和</w:t>
      </w:r>
      <w:proofErr w:type="gramStart"/>
      <w:r>
        <w:rPr>
          <w:rStyle w:val="ad"/>
          <w:rFonts w:ascii="楷体" w:eastAsia="楷体" w:hAnsi="楷体" w:hint="eastAsia"/>
          <w:b w:val="0"/>
          <w:bCs w:val="0"/>
          <w:spacing w:val="-4"/>
          <w:sz w:val="32"/>
          <w:szCs w:val="32"/>
        </w:rPr>
        <w:t>昌州财社</w:t>
      </w:r>
      <w:proofErr w:type="gramEnd"/>
      <w:r>
        <w:rPr>
          <w:rStyle w:val="ad"/>
          <w:rFonts w:ascii="楷体" w:eastAsia="楷体" w:hAnsi="楷体" w:hint="eastAsia"/>
          <w:b w:val="0"/>
          <w:bCs w:val="0"/>
          <w:spacing w:val="-4"/>
          <w:sz w:val="32"/>
          <w:szCs w:val="32"/>
        </w:rPr>
        <w:t>【2024】54号文件，木垒</w:t>
      </w:r>
      <w:proofErr w:type="gramStart"/>
      <w:r>
        <w:rPr>
          <w:rStyle w:val="ad"/>
          <w:rFonts w:ascii="楷体" w:eastAsia="楷体" w:hAnsi="楷体" w:hint="eastAsia"/>
          <w:b w:val="0"/>
          <w:bCs w:val="0"/>
          <w:spacing w:val="-4"/>
          <w:sz w:val="32"/>
          <w:szCs w:val="32"/>
        </w:rPr>
        <w:t>县疾病</w:t>
      </w:r>
      <w:proofErr w:type="gramEnd"/>
      <w:r>
        <w:rPr>
          <w:rStyle w:val="ad"/>
          <w:rFonts w:ascii="楷体" w:eastAsia="楷体" w:hAnsi="楷体" w:hint="eastAsia"/>
          <w:b w:val="0"/>
          <w:bCs w:val="0"/>
          <w:spacing w:val="-4"/>
          <w:sz w:val="32"/>
          <w:szCs w:val="32"/>
        </w:rPr>
        <w:t>预防控制中心计划2024年开展重大传染病防控工作，其中免疫规划3万元，结核病防治12.9万元，艾滋病防治6.02万元，慢病防控5.5万元，精神卫生0.35万元，包虫病防治34.1万元，饮用水卫生监测21.5万元，学生常见病10.3万元，布病监测26.5万元，食品安全保障0.4万元，能力提升17万元，主要通过冷链转运，保证疫苗质量，以预防和控制特定传染病的发生和流行；通过结核病、艾滋病、包虫病筛查、患者服用药物，提升防治工作质量，降低结核病发病和死亡；通过精神卫生工作，保证精神障碍患者享受精神卫生服务，维护和促进患者心理健康。</w:t>
      </w:r>
      <w:r>
        <w:rPr>
          <w:rStyle w:val="ad"/>
          <w:rFonts w:ascii="楷体" w:eastAsia="楷体" w:hAnsi="楷体" w:hint="eastAsia"/>
          <w:b w:val="0"/>
          <w:bCs w:val="0"/>
          <w:spacing w:val="-4"/>
          <w:sz w:val="32"/>
          <w:szCs w:val="32"/>
        </w:rPr>
        <w:br/>
        <w:t>2.项目主要内容</w:t>
      </w:r>
      <w:r>
        <w:rPr>
          <w:rStyle w:val="ad"/>
          <w:rFonts w:ascii="楷体" w:eastAsia="楷体" w:hAnsi="楷体" w:hint="eastAsia"/>
          <w:b w:val="0"/>
          <w:bCs w:val="0"/>
          <w:spacing w:val="-4"/>
          <w:sz w:val="32"/>
          <w:szCs w:val="32"/>
        </w:rPr>
        <w:br/>
        <w:t>项目资金主要用于2024年重大项目工作经费支出，主要用于木垒</w:t>
      </w:r>
      <w:proofErr w:type="gramStart"/>
      <w:r>
        <w:rPr>
          <w:rStyle w:val="ad"/>
          <w:rFonts w:ascii="楷体" w:eastAsia="楷体" w:hAnsi="楷体" w:hint="eastAsia"/>
          <w:b w:val="0"/>
          <w:bCs w:val="0"/>
          <w:spacing w:val="-4"/>
          <w:sz w:val="32"/>
          <w:szCs w:val="32"/>
        </w:rPr>
        <w:t>县疾控中心</w:t>
      </w:r>
      <w:proofErr w:type="gramEnd"/>
      <w:r>
        <w:rPr>
          <w:rStyle w:val="ad"/>
          <w:rFonts w:ascii="楷体" w:eastAsia="楷体" w:hAnsi="楷体" w:hint="eastAsia"/>
          <w:b w:val="0"/>
          <w:bCs w:val="0"/>
          <w:spacing w:val="-4"/>
          <w:sz w:val="32"/>
          <w:szCs w:val="32"/>
        </w:rPr>
        <w:t>重大传染病的相关实验耗材以及相关办公经费支出等费用的支出。</w:t>
      </w:r>
      <w:r>
        <w:rPr>
          <w:rStyle w:val="ad"/>
          <w:rFonts w:ascii="楷体" w:eastAsia="楷体" w:hAnsi="楷体" w:hint="eastAsia"/>
          <w:b w:val="0"/>
          <w:bCs w:val="0"/>
          <w:spacing w:val="-4"/>
          <w:sz w:val="32"/>
          <w:szCs w:val="32"/>
        </w:rPr>
        <w:br/>
        <w:t>3.项目实施情况</w:t>
      </w:r>
      <w:r>
        <w:rPr>
          <w:rStyle w:val="ad"/>
          <w:rFonts w:ascii="楷体" w:eastAsia="楷体" w:hAnsi="楷体" w:hint="eastAsia"/>
          <w:b w:val="0"/>
          <w:bCs w:val="0"/>
          <w:spacing w:val="-4"/>
          <w:sz w:val="32"/>
          <w:szCs w:val="32"/>
        </w:rPr>
        <w:br/>
        <w:t>自2024年3月开始，建立健康小屋数量3个，结核病宣传次数1个，包虫病B超筛查人数9600人，饮用水监测次数5轮，家犬驱虫次数12轮，布病高危人群筛查人数1700人，项目的实施，提升了防控能力、疫情监测预警灵敏性以及公众健康意识，完善监测网络，开展传染病防治和知识宣传工作。促进了防控体系完</w:t>
      </w:r>
      <w:r>
        <w:rPr>
          <w:rStyle w:val="ad"/>
          <w:rFonts w:ascii="楷体" w:eastAsia="楷体" w:hAnsi="楷体" w:hint="eastAsia"/>
          <w:b w:val="0"/>
          <w:bCs w:val="0"/>
          <w:spacing w:val="-4"/>
          <w:sz w:val="32"/>
          <w:szCs w:val="32"/>
        </w:rPr>
        <w:lastRenderedPageBreak/>
        <w:t>善、科研创新以及社会稳定与经济发展。有效防控传染病，减少疫情对生产生活的冲击，保障社会秩序正常，为经济稳定增长创造条件。</w:t>
      </w:r>
      <w:r>
        <w:rPr>
          <w:rStyle w:val="ad"/>
          <w:rFonts w:ascii="楷体" w:eastAsia="楷体" w:hAnsi="楷体" w:hint="eastAsia"/>
          <w:b w:val="0"/>
          <w:bCs w:val="0"/>
          <w:spacing w:val="-4"/>
          <w:sz w:val="32"/>
          <w:szCs w:val="32"/>
        </w:rPr>
        <w:br/>
        <w:t>4.资金投入和使用情况</w:t>
      </w:r>
      <w:r>
        <w:rPr>
          <w:rStyle w:val="ad"/>
          <w:rFonts w:ascii="楷体" w:eastAsia="楷体" w:hAnsi="楷体" w:hint="eastAsia"/>
          <w:b w:val="0"/>
          <w:bCs w:val="0"/>
          <w:spacing w:val="-4"/>
          <w:sz w:val="32"/>
          <w:szCs w:val="32"/>
        </w:rPr>
        <w:br/>
        <w:t>重大传染病防控经费项目资金于2024年2月1日</w:t>
      </w:r>
      <w:r w:rsidR="00922121">
        <w:rPr>
          <w:rStyle w:val="ad"/>
          <w:rFonts w:ascii="楷体" w:eastAsia="楷体" w:hAnsi="楷体" w:hint="eastAsia"/>
          <w:b w:val="0"/>
          <w:bCs w:val="0"/>
          <w:spacing w:val="-4"/>
          <w:sz w:val="32"/>
          <w:szCs w:val="32"/>
        </w:rPr>
        <w:t>新疆维吾尔自治区</w:t>
      </w:r>
      <w:r>
        <w:rPr>
          <w:rStyle w:val="ad"/>
          <w:rFonts w:ascii="楷体" w:eastAsia="楷体" w:hAnsi="楷体" w:hint="eastAsia"/>
          <w:b w:val="0"/>
          <w:bCs w:val="0"/>
          <w:spacing w:val="-4"/>
          <w:sz w:val="32"/>
          <w:szCs w:val="32"/>
        </w:rPr>
        <w:t>财政局下发的昌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（2023）78号、昌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【2024】4号和</w:t>
      </w:r>
      <w:proofErr w:type="gramStart"/>
      <w:r>
        <w:rPr>
          <w:rStyle w:val="ad"/>
          <w:rFonts w:ascii="楷体" w:eastAsia="楷体" w:hAnsi="楷体" w:hint="eastAsia"/>
          <w:b w:val="0"/>
          <w:bCs w:val="0"/>
          <w:spacing w:val="-4"/>
          <w:sz w:val="32"/>
          <w:szCs w:val="32"/>
        </w:rPr>
        <w:t>昌州财社</w:t>
      </w:r>
      <w:proofErr w:type="gramEnd"/>
      <w:r>
        <w:rPr>
          <w:rStyle w:val="ad"/>
          <w:rFonts w:ascii="楷体" w:eastAsia="楷体" w:hAnsi="楷体" w:hint="eastAsia"/>
          <w:b w:val="0"/>
          <w:bCs w:val="0"/>
          <w:spacing w:val="-4"/>
          <w:sz w:val="32"/>
          <w:szCs w:val="32"/>
        </w:rPr>
        <w:t>【2024】54号文件安排资金为137.57万元，为上级财政资金，实际到位率137.57万元，资金到位率100%，实际执行137.57万元，执行率100%，资金落实到位。为确保项目资金的安全有效使用、安全运行，提高资金的使用效率，我单位严格按照木垒哈萨克自治县疾病预防控制中心财务会计内部控制制度执行，资金由财政大平台统一拨付，由财政监管，严禁随意调整预算，改变支出用途，做到专款专用，严禁截留、挪用、挤占项目资金等违规违纪问题的发生。</w:t>
      </w:r>
    </w:p>
    <w:p w14:paraId="5F7D54CE" w14:textId="77777777" w:rsidR="004E6D7E"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662B4FC8" w14:textId="77777777" w:rsidR="004E6D7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1.总体目标</w:t>
      </w:r>
      <w:r>
        <w:rPr>
          <w:rStyle w:val="ad"/>
          <w:rFonts w:ascii="楷体" w:eastAsia="楷体" w:hAnsi="楷体" w:hint="eastAsia"/>
          <w:b w:val="0"/>
          <w:bCs w:val="0"/>
          <w:spacing w:val="-4"/>
          <w:sz w:val="32"/>
          <w:szCs w:val="32"/>
        </w:rPr>
        <w:br/>
        <w:t>依据昌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（2023）78号、昌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【2024】4号和</w:t>
      </w:r>
      <w:proofErr w:type="gramStart"/>
      <w:r>
        <w:rPr>
          <w:rStyle w:val="ad"/>
          <w:rFonts w:ascii="楷体" w:eastAsia="楷体" w:hAnsi="楷体" w:hint="eastAsia"/>
          <w:b w:val="0"/>
          <w:bCs w:val="0"/>
          <w:spacing w:val="-4"/>
          <w:sz w:val="32"/>
          <w:szCs w:val="32"/>
        </w:rPr>
        <w:t>昌州财社</w:t>
      </w:r>
      <w:proofErr w:type="gramEnd"/>
      <w:r>
        <w:rPr>
          <w:rStyle w:val="ad"/>
          <w:rFonts w:ascii="楷体" w:eastAsia="楷体" w:hAnsi="楷体" w:hint="eastAsia"/>
          <w:b w:val="0"/>
          <w:bCs w:val="0"/>
          <w:spacing w:val="-4"/>
          <w:sz w:val="32"/>
          <w:szCs w:val="32"/>
        </w:rPr>
        <w:t>【2024】54号文件，木垒</w:t>
      </w:r>
      <w:proofErr w:type="gramStart"/>
      <w:r>
        <w:rPr>
          <w:rStyle w:val="ad"/>
          <w:rFonts w:ascii="楷体" w:eastAsia="楷体" w:hAnsi="楷体" w:hint="eastAsia"/>
          <w:b w:val="0"/>
          <w:bCs w:val="0"/>
          <w:spacing w:val="-4"/>
          <w:sz w:val="32"/>
          <w:szCs w:val="32"/>
        </w:rPr>
        <w:t>县疾病</w:t>
      </w:r>
      <w:proofErr w:type="gramEnd"/>
      <w:r>
        <w:rPr>
          <w:rStyle w:val="ad"/>
          <w:rFonts w:ascii="楷体" w:eastAsia="楷体" w:hAnsi="楷体" w:hint="eastAsia"/>
          <w:b w:val="0"/>
          <w:bCs w:val="0"/>
          <w:spacing w:val="-4"/>
          <w:sz w:val="32"/>
          <w:szCs w:val="32"/>
        </w:rPr>
        <w:t>预防控制中心计划2024年开展重大传染病防控工作，其中免疫规划3万元，结核病防治12.9万元，艾滋病防治6.02万元，慢病防控5.5万元，精神卫生0.35万元，包虫病防治34.1万元，饮用水卫生监测21.5万元，学生常见病10.3万元，布病监测26.5万元，食品安全保障0.4万元，能力提升17万元，主要通过冷链转运，保证疫苗质量，以预防和控制特定传染病的发生和流行；通过结核病、艾滋病、包虫病筛查、患者服用药物，提升防治工作质量，降低结核病发病和死</w:t>
      </w:r>
      <w:r>
        <w:rPr>
          <w:rStyle w:val="ad"/>
          <w:rFonts w:ascii="楷体" w:eastAsia="楷体" w:hAnsi="楷体" w:hint="eastAsia"/>
          <w:b w:val="0"/>
          <w:bCs w:val="0"/>
          <w:spacing w:val="-4"/>
          <w:sz w:val="32"/>
          <w:szCs w:val="32"/>
        </w:rPr>
        <w:lastRenderedPageBreak/>
        <w:t>亡；通过精神卫生工作，保证精神障碍患者享受精神卫生服务，维护和促进患者心理健康。</w:t>
      </w:r>
      <w:r>
        <w:rPr>
          <w:rStyle w:val="ad"/>
          <w:rFonts w:ascii="楷体" w:eastAsia="楷体" w:hAnsi="楷体" w:hint="eastAsia"/>
          <w:b w:val="0"/>
          <w:bCs w:val="0"/>
          <w:spacing w:val="-4"/>
          <w:sz w:val="32"/>
          <w:szCs w:val="32"/>
        </w:rPr>
        <w:br/>
        <w:t>2.阶段性目标</w:t>
      </w:r>
      <w:r>
        <w:rPr>
          <w:rStyle w:val="ad"/>
          <w:rFonts w:ascii="楷体" w:eastAsia="楷体" w:hAnsi="楷体" w:hint="eastAsia"/>
          <w:b w:val="0"/>
          <w:bCs w:val="0"/>
          <w:spacing w:val="-4"/>
          <w:sz w:val="32"/>
          <w:szCs w:val="32"/>
        </w:rPr>
        <w:br/>
        <w:t>2.12024年4月20日前完成包虫病B超筛查工作并对县医院、新户镇卫生院、西吉卫生院以及社区服务中心拨付包虫病项目B超筛查补助费7.65万元；</w:t>
      </w:r>
      <w:r>
        <w:rPr>
          <w:rStyle w:val="ad"/>
          <w:rFonts w:ascii="楷体" w:eastAsia="楷体" w:hAnsi="楷体" w:hint="eastAsia"/>
          <w:b w:val="0"/>
          <w:bCs w:val="0"/>
          <w:spacing w:val="-4"/>
          <w:sz w:val="32"/>
          <w:szCs w:val="32"/>
        </w:rPr>
        <w:br/>
        <w:t>2.22024年9月26日前完成购买重大传染病相关实验耗材试剂以及相关专用设备</w:t>
      </w:r>
      <w:proofErr w:type="gramStart"/>
      <w:r>
        <w:rPr>
          <w:rStyle w:val="ad"/>
          <w:rFonts w:ascii="楷体" w:eastAsia="楷体" w:hAnsi="楷体" w:hint="eastAsia"/>
          <w:b w:val="0"/>
          <w:bCs w:val="0"/>
          <w:spacing w:val="-4"/>
          <w:sz w:val="32"/>
          <w:szCs w:val="32"/>
        </w:rPr>
        <w:t>购置款</w:t>
      </w:r>
      <w:proofErr w:type="gramEnd"/>
      <w:r>
        <w:rPr>
          <w:rStyle w:val="ad"/>
          <w:rFonts w:ascii="楷体" w:eastAsia="楷体" w:hAnsi="楷体" w:hint="eastAsia"/>
          <w:b w:val="0"/>
          <w:bCs w:val="0"/>
          <w:spacing w:val="-4"/>
          <w:sz w:val="32"/>
          <w:szCs w:val="32"/>
        </w:rPr>
        <w:t>11.36万元；</w:t>
      </w:r>
    </w:p>
    <w:p w14:paraId="26A0898B" w14:textId="77777777" w:rsidR="004E6D7E"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77C963D2" w14:textId="77777777" w:rsidR="004E6D7E"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040776B0" w14:textId="77777777" w:rsidR="004E6D7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1.绩效评价目的</w:t>
      </w:r>
      <w:r>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Pr>
          <w:rStyle w:val="ad"/>
          <w:rFonts w:ascii="楷体" w:eastAsia="楷体" w:hAnsi="楷体" w:hint="eastAsia"/>
          <w:b w:val="0"/>
          <w:bCs w:val="0"/>
          <w:spacing w:val="-4"/>
          <w:sz w:val="32"/>
          <w:szCs w:val="32"/>
        </w:rPr>
        <w:br/>
        <w:t>通过对2024年度上级财政下拨的重大传染病防控经费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w:t>
      </w:r>
      <w:r>
        <w:rPr>
          <w:rStyle w:val="ad"/>
          <w:rFonts w:ascii="楷体" w:eastAsia="楷体" w:hAnsi="楷体" w:hint="eastAsia"/>
          <w:b w:val="0"/>
          <w:bCs w:val="0"/>
          <w:spacing w:val="-4"/>
          <w:sz w:val="32"/>
          <w:szCs w:val="32"/>
        </w:rPr>
        <w:lastRenderedPageBreak/>
        <w:t>理，切实提高财政资金使用效益。</w:t>
      </w:r>
      <w:r>
        <w:rPr>
          <w:rStyle w:val="ad"/>
          <w:rFonts w:ascii="楷体" w:eastAsia="楷体" w:hAnsi="楷体" w:hint="eastAsia"/>
          <w:b w:val="0"/>
          <w:bCs w:val="0"/>
          <w:spacing w:val="-4"/>
          <w:sz w:val="32"/>
          <w:szCs w:val="32"/>
        </w:rPr>
        <w:br/>
        <w:t>2.绩效评价对象</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此次我</w:t>
      </w:r>
      <w:proofErr w:type="gramEnd"/>
      <w:r>
        <w:rPr>
          <w:rStyle w:val="ad"/>
          <w:rFonts w:ascii="楷体" w:eastAsia="楷体" w:hAnsi="楷体" w:hint="eastAsia"/>
          <w:b w:val="0"/>
          <w:bCs w:val="0"/>
          <w:spacing w:val="-4"/>
          <w:sz w:val="32"/>
          <w:szCs w:val="32"/>
        </w:rPr>
        <w:t>单位根据《财政支出绩效评价管理暂行办法》（财预〔2020〕10号）文件要求实施评价工作，本次评价对象为重大传染病防控经费项目，评价核心为项目决策、过程管理、项目产出、项目成本、项目效益。</w:t>
      </w:r>
      <w:r>
        <w:rPr>
          <w:rStyle w:val="ad"/>
          <w:rFonts w:ascii="楷体" w:eastAsia="楷体" w:hAnsi="楷体" w:hint="eastAsia"/>
          <w:b w:val="0"/>
          <w:bCs w:val="0"/>
          <w:spacing w:val="-4"/>
          <w:sz w:val="32"/>
          <w:szCs w:val="32"/>
        </w:rPr>
        <w:br/>
        <w:t>3.绩效评价范围</w:t>
      </w:r>
      <w:r>
        <w:rPr>
          <w:rStyle w:val="ad"/>
          <w:rFonts w:ascii="楷体" w:eastAsia="楷体" w:hAnsi="楷体" w:hint="eastAsia"/>
          <w:b w:val="0"/>
          <w:bCs w:val="0"/>
          <w:spacing w:val="-4"/>
          <w:sz w:val="32"/>
          <w:szCs w:val="32"/>
        </w:rPr>
        <w:br/>
        <w:t>本次绩效评价主要围绕重大传染病防控经费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w:t>
      </w:r>
      <w:r>
        <w:rPr>
          <w:rStyle w:val="ad"/>
          <w:rFonts w:ascii="楷体" w:eastAsia="楷体" w:hAnsi="楷体" w:hint="eastAsia"/>
          <w:b w:val="0"/>
          <w:bCs w:val="0"/>
          <w:spacing w:val="-4"/>
          <w:sz w:val="32"/>
          <w:szCs w:val="32"/>
        </w:rPr>
        <w:br/>
        <w:t>4.绩效评价依据</w:t>
      </w:r>
      <w:r>
        <w:rPr>
          <w:rStyle w:val="ad"/>
          <w:rFonts w:ascii="楷体" w:eastAsia="楷体" w:hAnsi="楷体" w:hint="eastAsia"/>
          <w:b w:val="0"/>
          <w:bCs w:val="0"/>
          <w:spacing w:val="-4"/>
          <w:sz w:val="32"/>
          <w:szCs w:val="32"/>
        </w:rPr>
        <w:br/>
        <w:t>（1）《中华人民共和国预算法》；</w:t>
      </w:r>
      <w:r>
        <w:rPr>
          <w:rStyle w:val="ad"/>
          <w:rFonts w:ascii="楷体" w:eastAsia="楷体" w:hAnsi="楷体" w:hint="eastAsia"/>
          <w:b w:val="0"/>
          <w:bCs w:val="0"/>
          <w:spacing w:val="-4"/>
          <w:sz w:val="32"/>
          <w:szCs w:val="32"/>
        </w:rPr>
        <w:br/>
        <w:t>（2）《中共中央国务院关于全面实施预算绩效管理的意见》（中发〔2018〕34号）；</w:t>
      </w:r>
      <w:r>
        <w:rPr>
          <w:rStyle w:val="ad"/>
          <w:rFonts w:ascii="楷体" w:eastAsia="楷体" w:hAnsi="楷体" w:hint="eastAsia"/>
          <w:b w:val="0"/>
          <w:bCs w:val="0"/>
          <w:spacing w:val="-4"/>
          <w:sz w:val="32"/>
          <w:szCs w:val="32"/>
        </w:rPr>
        <w:br/>
        <w:t>（3）《项目支出绩效评价管理办法》（财预〔2020〕10号）；</w:t>
      </w:r>
      <w:r>
        <w:rPr>
          <w:rStyle w:val="ad"/>
          <w:rFonts w:ascii="楷体" w:eastAsia="楷体" w:hAnsi="楷体" w:hint="eastAsia"/>
          <w:b w:val="0"/>
          <w:bCs w:val="0"/>
          <w:spacing w:val="-4"/>
          <w:sz w:val="32"/>
          <w:szCs w:val="32"/>
        </w:rPr>
        <w:br/>
        <w:t>（4）《自治区财政支出绩效评价管理暂行办法》（新财预〔2018〕189号）；</w:t>
      </w:r>
      <w:r>
        <w:rPr>
          <w:rStyle w:val="ad"/>
          <w:rFonts w:ascii="楷体" w:eastAsia="楷体" w:hAnsi="楷体" w:hint="eastAsia"/>
          <w:b w:val="0"/>
          <w:bCs w:val="0"/>
          <w:spacing w:val="-4"/>
          <w:sz w:val="32"/>
          <w:szCs w:val="32"/>
        </w:rPr>
        <w:br/>
        <w:t>（5）《关于提前下达2024年中央重大传染病防控补助资金》昌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（2023）78号文件</w:t>
      </w:r>
      <w:r>
        <w:rPr>
          <w:rStyle w:val="ad"/>
          <w:rFonts w:ascii="楷体" w:eastAsia="楷体" w:hAnsi="楷体" w:hint="eastAsia"/>
          <w:b w:val="0"/>
          <w:bCs w:val="0"/>
          <w:spacing w:val="-4"/>
          <w:sz w:val="32"/>
          <w:szCs w:val="32"/>
        </w:rPr>
        <w:br/>
        <w:t>（6）《关于拨付2024年中央财政重大传染病防控经费预算的通</w:t>
      </w:r>
      <w:r>
        <w:rPr>
          <w:rStyle w:val="ad"/>
          <w:rFonts w:ascii="楷体" w:eastAsia="楷体" w:hAnsi="楷体" w:hint="eastAsia"/>
          <w:b w:val="0"/>
          <w:bCs w:val="0"/>
          <w:spacing w:val="-4"/>
          <w:sz w:val="32"/>
          <w:szCs w:val="32"/>
        </w:rPr>
        <w:lastRenderedPageBreak/>
        <w:t>知》昌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【2024】4号文件</w:t>
      </w:r>
      <w:r>
        <w:rPr>
          <w:rStyle w:val="ad"/>
          <w:rFonts w:ascii="楷体" w:eastAsia="楷体" w:hAnsi="楷体" w:hint="eastAsia"/>
          <w:b w:val="0"/>
          <w:bCs w:val="0"/>
          <w:spacing w:val="-4"/>
          <w:sz w:val="32"/>
          <w:szCs w:val="32"/>
        </w:rPr>
        <w:br/>
        <w:t>（7）《中央重大公共卫生服务补助资金》昌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【2024】54号文件</w:t>
      </w:r>
    </w:p>
    <w:p w14:paraId="2D60FA1B" w14:textId="77777777" w:rsidR="004E6D7E"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7C67B22D" w14:textId="77777777" w:rsidR="004E6D7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1.绩效评价原则</w:t>
      </w:r>
      <w:r>
        <w:rPr>
          <w:rStyle w:val="ad"/>
          <w:rFonts w:ascii="楷体" w:eastAsia="楷体" w:hAnsi="楷体" w:hint="eastAsia"/>
          <w:b w:val="0"/>
          <w:bCs w:val="0"/>
          <w:spacing w:val="-4"/>
          <w:sz w:val="32"/>
          <w:szCs w:val="32"/>
        </w:rPr>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（1）科学规范原则。坚持严格执行规定的程序，按照科学可行的要求，采用定量与定性分析相结合的方法，按照规范的程序，对项目绩效进行客观、公正的反映。。</w:t>
      </w:r>
      <w:r>
        <w:rPr>
          <w:rStyle w:val="ad"/>
          <w:rFonts w:ascii="楷体" w:eastAsia="楷体" w:hAnsi="楷体" w:hint="eastAsia"/>
          <w:b w:val="0"/>
          <w:bCs w:val="0"/>
          <w:spacing w:val="-4"/>
          <w:sz w:val="32"/>
          <w:szCs w:val="32"/>
        </w:rPr>
        <w:br/>
        <w:t>（2）公正公开原则。坚持符合真实、客观、公正的要求，依法公开并接受监督。</w:t>
      </w:r>
      <w:r>
        <w:rPr>
          <w:rStyle w:val="ad"/>
          <w:rFonts w:ascii="楷体" w:eastAsia="楷体" w:hAnsi="楷体" w:hint="eastAsia"/>
          <w:b w:val="0"/>
          <w:bCs w:val="0"/>
          <w:spacing w:val="-4"/>
          <w:sz w:val="32"/>
          <w:szCs w:val="32"/>
        </w:rPr>
        <w:br/>
        <w:t>（3）分级分类原则。坚持根据评价对象的特点分类组织实施。</w:t>
      </w:r>
      <w:r>
        <w:rPr>
          <w:rStyle w:val="ad"/>
          <w:rFonts w:ascii="楷体" w:eastAsia="楷体" w:hAnsi="楷体" w:hint="eastAsia"/>
          <w:b w:val="0"/>
          <w:bCs w:val="0"/>
          <w:spacing w:val="-4"/>
          <w:sz w:val="32"/>
          <w:szCs w:val="32"/>
        </w:rPr>
        <w:br/>
        <w:t>（4）绩效相关原则。应当针对具体支出及其产出绩效进行，评价结果应当清晰反映支出和产出绩效之间的紧密对应关系。</w:t>
      </w:r>
      <w:r>
        <w:rPr>
          <w:rStyle w:val="ad"/>
          <w:rFonts w:ascii="楷体" w:eastAsia="楷体" w:hAnsi="楷体" w:hint="eastAsia"/>
          <w:b w:val="0"/>
          <w:bCs w:val="0"/>
          <w:spacing w:val="-4"/>
          <w:sz w:val="32"/>
          <w:szCs w:val="32"/>
        </w:rPr>
        <w:br/>
        <w:t>（5）统筹兼顾原则。单位自评、部门评价和财政评价应职责明确，各有侧重，相互衔接。单位自评应由项目单位自主实施，即“谁支出、谁自评”。部门评价和财政评价应在单位自评的基础</w:t>
      </w:r>
      <w:r>
        <w:rPr>
          <w:rStyle w:val="ad"/>
          <w:rFonts w:ascii="楷体" w:eastAsia="楷体" w:hAnsi="楷体" w:hint="eastAsia"/>
          <w:b w:val="0"/>
          <w:bCs w:val="0"/>
          <w:spacing w:val="-4"/>
          <w:sz w:val="32"/>
          <w:szCs w:val="32"/>
        </w:rPr>
        <w:lastRenderedPageBreak/>
        <w:t>上开展，必要时可委托第三方机构实施。</w:t>
      </w:r>
      <w:r>
        <w:rPr>
          <w:rStyle w:val="ad"/>
          <w:rFonts w:ascii="楷体" w:eastAsia="楷体" w:hAnsi="楷体" w:hint="eastAsia"/>
          <w:b w:val="0"/>
          <w:bCs w:val="0"/>
          <w:spacing w:val="-4"/>
          <w:sz w:val="32"/>
          <w:szCs w:val="32"/>
        </w:rPr>
        <w:br/>
        <w:t>（6）激励约束原则。绩效评价结果应与预算安排、政策调整、改进管理实质性挂钩，体现奖优罚劣和激励相容导向，有效要安排、低效要压减、无效要问责。</w:t>
      </w:r>
      <w:r>
        <w:rPr>
          <w:rStyle w:val="ad"/>
          <w:rFonts w:ascii="楷体" w:eastAsia="楷体" w:hAnsi="楷体" w:hint="eastAsia"/>
          <w:b w:val="0"/>
          <w:bCs w:val="0"/>
          <w:spacing w:val="-4"/>
          <w:sz w:val="32"/>
          <w:szCs w:val="32"/>
        </w:rPr>
        <w:br/>
        <w:t>2.评价指标体系</w:t>
      </w:r>
      <w:r>
        <w:rPr>
          <w:rStyle w:val="ad"/>
          <w:rFonts w:ascii="楷体" w:eastAsia="楷体" w:hAnsi="楷体" w:hint="eastAsia"/>
          <w:b w:val="0"/>
          <w:bCs w:val="0"/>
          <w:spacing w:val="-4"/>
          <w:sz w:val="32"/>
          <w:szCs w:val="32"/>
        </w:rPr>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w:t>
      </w:r>
      <w:proofErr w:type="gramStart"/>
      <w:r>
        <w:rPr>
          <w:rStyle w:val="ad"/>
          <w:rFonts w:ascii="楷体" w:eastAsia="楷体" w:hAnsi="楷体" w:hint="eastAsia"/>
          <w:b w:val="0"/>
          <w:bCs w:val="0"/>
          <w:spacing w:val="-4"/>
          <w:sz w:val="32"/>
          <w:szCs w:val="32"/>
        </w:rPr>
        <w:t>下项目</w:t>
      </w:r>
      <w:proofErr w:type="gramEnd"/>
      <w:r>
        <w:rPr>
          <w:rStyle w:val="ad"/>
          <w:rFonts w:ascii="楷体" w:eastAsia="楷体" w:hAnsi="楷体" w:hint="eastAsia"/>
          <w:b w:val="0"/>
          <w:bCs w:val="0"/>
          <w:spacing w:val="-4"/>
          <w:sz w:val="32"/>
          <w:szCs w:val="32"/>
        </w:rPr>
        <w:t>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Pr>
          <w:rStyle w:val="ad"/>
          <w:rFonts w:ascii="楷体" w:eastAsia="楷体" w:hAnsi="楷体" w:hint="eastAsia"/>
          <w:b w:val="0"/>
          <w:bCs w:val="0"/>
          <w:spacing w:val="-4"/>
          <w:sz w:val="32"/>
          <w:szCs w:val="32"/>
        </w:rPr>
        <w:br/>
        <w:t>3.评价方法</w:t>
      </w:r>
      <w:r>
        <w:rPr>
          <w:rStyle w:val="ad"/>
          <w:rFonts w:ascii="楷体" w:eastAsia="楷体" w:hAnsi="楷体" w:hint="eastAsia"/>
          <w:b w:val="0"/>
          <w:bCs w:val="0"/>
          <w:spacing w:val="-4"/>
          <w:sz w:val="32"/>
          <w:szCs w:val="32"/>
        </w:rPr>
        <w:br/>
        <w:t>本项目主要采用全面评价和重点评价相结合、现场评价和非现场评价相结合的方式，运用综合评分法进行评价。</w:t>
      </w:r>
      <w:r>
        <w:rPr>
          <w:rStyle w:val="ad"/>
          <w:rFonts w:ascii="楷体" w:eastAsia="楷体" w:hAnsi="楷体" w:hint="eastAsia"/>
          <w:b w:val="0"/>
          <w:bCs w:val="0"/>
          <w:spacing w:val="-4"/>
          <w:sz w:val="32"/>
          <w:szCs w:val="32"/>
        </w:rPr>
        <w:br/>
        <w:t>4.评价标准</w:t>
      </w:r>
      <w:r>
        <w:rPr>
          <w:rStyle w:val="ad"/>
          <w:rFonts w:ascii="楷体" w:eastAsia="楷体" w:hAnsi="楷体" w:hint="eastAsia"/>
          <w:b w:val="0"/>
          <w:bCs w:val="0"/>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w:t>
      </w:r>
      <w:r>
        <w:rPr>
          <w:rStyle w:val="ad"/>
          <w:rFonts w:ascii="楷体" w:eastAsia="楷体" w:hAnsi="楷体" w:hint="eastAsia"/>
          <w:b w:val="0"/>
          <w:bCs w:val="0"/>
          <w:spacing w:val="-4"/>
          <w:sz w:val="32"/>
          <w:szCs w:val="32"/>
        </w:rPr>
        <w:lastRenderedPageBreak/>
        <w:t>划情况相比较进行评价。对于没有制定计划目标的指标，则参照历史标准进行评价。</w:t>
      </w:r>
      <w:r>
        <w:rPr>
          <w:rStyle w:val="ad"/>
          <w:rFonts w:ascii="楷体" w:eastAsia="楷体" w:hAnsi="楷体" w:hint="eastAsia"/>
          <w:b w:val="0"/>
          <w:bCs w:val="0"/>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Pr>
          <w:rStyle w:val="ad"/>
          <w:rFonts w:ascii="楷体" w:eastAsia="楷体" w:hAnsi="楷体" w:hint="eastAsia"/>
          <w:b w:val="0"/>
          <w:bCs w:val="0"/>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312B566B" w14:textId="77777777" w:rsidR="004E6D7E"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669F1A44" w14:textId="77777777" w:rsidR="004E6D7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1.前期准备</w:t>
      </w:r>
      <w:r>
        <w:rPr>
          <w:rStyle w:val="ad"/>
          <w:rFonts w:ascii="楷体" w:eastAsia="楷体" w:hAnsi="楷体" w:hint="eastAsia"/>
          <w:b w:val="0"/>
          <w:bCs w:val="0"/>
          <w:spacing w:val="-4"/>
          <w:sz w:val="32"/>
          <w:szCs w:val="32"/>
        </w:rPr>
        <w:br/>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d"/>
          <w:rFonts w:ascii="楷体" w:eastAsia="楷体" w:hAnsi="楷体" w:hint="eastAsia"/>
          <w:b w:val="0"/>
          <w:bCs w:val="0"/>
          <w:spacing w:val="-4"/>
          <w:sz w:val="32"/>
          <w:szCs w:val="32"/>
        </w:rPr>
        <w:br/>
        <w:t>郭文波为评价小组组长，主要负责工作安排，对项目策划和监督，全面负责项目绩效评价报告的最终质量，对评估人员出具的最终报告质量进行复核，确保评估结果的客观性；</w:t>
      </w:r>
      <w:r>
        <w:rPr>
          <w:rStyle w:val="ad"/>
          <w:rFonts w:ascii="楷体" w:eastAsia="楷体" w:hAnsi="楷体" w:hint="eastAsia"/>
          <w:b w:val="0"/>
          <w:bCs w:val="0"/>
          <w:spacing w:val="-4"/>
          <w:sz w:val="32"/>
          <w:szCs w:val="32"/>
        </w:rPr>
        <w:br/>
        <w:t>赵娜为副组长，主要负责报告的审核、指导；</w:t>
      </w:r>
      <w:r>
        <w:rPr>
          <w:rStyle w:val="ad"/>
          <w:rFonts w:ascii="楷体" w:eastAsia="楷体" w:hAnsi="楷体" w:hint="eastAsia"/>
          <w:b w:val="0"/>
          <w:bCs w:val="0"/>
          <w:spacing w:val="-4"/>
          <w:sz w:val="32"/>
          <w:szCs w:val="32"/>
        </w:rPr>
        <w:br/>
        <w:t>杨琳为组员，负责资料、数据整理，编制报告。</w:t>
      </w:r>
      <w:r>
        <w:rPr>
          <w:rStyle w:val="ad"/>
          <w:rFonts w:ascii="楷体" w:eastAsia="楷体" w:hAnsi="楷体" w:hint="eastAsia"/>
          <w:b w:val="0"/>
          <w:bCs w:val="0"/>
          <w:spacing w:val="-4"/>
          <w:sz w:val="32"/>
          <w:szCs w:val="32"/>
        </w:rPr>
        <w:br/>
        <w:t>小组制定了项目评价的工作思路及工作安排，参考学习了相关政策制度、实施方案和相关的工作文件，为评价工作的开展提供工</w:t>
      </w:r>
      <w:r>
        <w:rPr>
          <w:rStyle w:val="ad"/>
          <w:rFonts w:ascii="楷体" w:eastAsia="楷体" w:hAnsi="楷体" w:hint="eastAsia"/>
          <w:b w:val="0"/>
          <w:bCs w:val="0"/>
          <w:spacing w:val="-4"/>
          <w:sz w:val="32"/>
          <w:szCs w:val="32"/>
        </w:rPr>
        <w:lastRenderedPageBreak/>
        <w:t>作指引。</w:t>
      </w:r>
      <w:r>
        <w:rPr>
          <w:rStyle w:val="ad"/>
          <w:rFonts w:ascii="楷体" w:eastAsia="楷体" w:hAnsi="楷体" w:hint="eastAsia"/>
          <w:b w:val="0"/>
          <w:bCs w:val="0"/>
          <w:spacing w:val="-4"/>
          <w:sz w:val="32"/>
          <w:szCs w:val="32"/>
        </w:rPr>
        <w:br/>
        <w:t>1.22025年3月2日，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通过前期调研确定绩效评价对象和范围，确定了评价的目的、方法以及评价的原则；</w:t>
      </w:r>
      <w:r>
        <w:rPr>
          <w:rStyle w:val="ad"/>
          <w:rFonts w:ascii="楷体" w:eastAsia="楷体" w:hAnsi="楷体" w:hint="eastAsia"/>
          <w:b w:val="0"/>
          <w:bCs w:val="0"/>
          <w:spacing w:val="-4"/>
          <w:sz w:val="32"/>
          <w:szCs w:val="32"/>
        </w:rPr>
        <w:br/>
        <w:t>1.32025年3月3日，评价小组根据项目的实施内容和特征制定了评价指标体系及评价标准以及评价实施方案，修正并确定所需资料清单，最终确定绩效评价工作方案；</w:t>
      </w:r>
      <w:r>
        <w:rPr>
          <w:rStyle w:val="ad"/>
          <w:rFonts w:ascii="楷体" w:eastAsia="楷体" w:hAnsi="楷体" w:hint="eastAsia"/>
          <w:b w:val="0"/>
          <w:bCs w:val="0"/>
          <w:spacing w:val="-4"/>
          <w:sz w:val="32"/>
          <w:szCs w:val="32"/>
        </w:rPr>
        <w:br/>
        <w:t>2.组织实施</w:t>
      </w:r>
      <w:r>
        <w:rPr>
          <w:rStyle w:val="ad"/>
          <w:rFonts w:ascii="楷体" w:eastAsia="楷体" w:hAnsi="楷体" w:hint="eastAsia"/>
          <w:b w:val="0"/>
          <w:bCs w:val="0"/>
          <w:spacing w:val="-4"/>
          <w:sz w:val="32"/>
          <w:szCs w:val="32"/>
        </w:rPr>
        <w:br/>
        <w:t>2025年3月4日-3月8日，评价工作进入实施阶段：</w:t>
      </w:r>
      <w:r>
        <w:rPr>
          <w:rStyle w:val="ad"/>
          <w:rFonts w:ascii="楷体" w:eastAsia="楷体" w:hAnsi="楷体" w:hint="eastAsia"/>
          <w:b w:val="0"/>
          <w:bCs w:val="0"/>
          <w:spacing w:val="-4"/>
          <w:sz w:val="32"/>
          <w:szCs w:val="32"/>
        </w:rPr>
        <w:br/>
        <w:t>2.1</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w:t>
      </w:r>
      <w:r>
        <w:rPr>
          <w:rStyle w:val="ad"/>
          <w:rFonts w:ascii="楷体" w:eastAsia="楷体" w:hAnsi="楷体" w:hint="eastAsia"/>
          <w:b w:val="0"/>
          <w:bCs w:val="0"/>
          <w:spacing w:val="-4"/>
          <w:sz w:val="32"/>
          <w:szCs w:val="32"/>
        </w:rPr>
        <w:br/>
        <w:t>2.2评价小组根据项目的实施情况、资金的分配和使用情况、项目自评情况，及时与项目实施人员沟通协商，对项目的实施全过程工作进行核实，并做了相关问卷调查，据实酌情调整完善评价指标体系，剖析问题产生原因。</w:t>
      </w:r>
      <w:r>
        <w:rPr>
          <w:rStyle w:val="ad"/>
          <w:rFonts w:ascii="楷体" w:eastAsia="楷体" w:hAnsi="楷体" w:hint="eastAsia"/>
          <w:b w:val="0"/>
          <w:bCs w:val="0"/>
          <w:spacing w:val="-4"/>
          <w:sz w:val="32"/>
          <w:szCs w:val="32"/>
        </w:rPr>
        <w:br/>
        <w:t>3.分析评价：</w:t>
      </w:r>
      <w:r>
        <w:rPr>
          <w:rStyle w:val="ad"/>
          <w:rFonts w:ascii="楷体" w:eastAsia="楷体" w:hAnsi="楷体" w:hint="eastAsia"/>
          <w:b w:val="0"/>
          <w:bCs w:val="0"/>
          <w:spacing w:val="-4"/>
          <w:sz w:val="32"/>
          <w:szCs w:val="32"/>
        </w:rPr>
        <w:br/>
        <w:t>2025年3月9日-3月13日，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按照绩效评价的原则和规范，对取得的资料进行审查核实，对采集的数据进行分析，按照绩效评价指标评分表逐项进行打分、分析，汇总各方评价结果，综合分析并形成评价结论。</w:t>
      </w:r>
      <w:r>
        <w:rPr>
          <w:rStyle w:val="ad"/>
          <w:rFonts w:ascii="楷体" w:eastAsia="楷体" w:hAnsi="楷体" w:hint="eastAsia"/>
          <w:b w:val="0"/>
          <w:bCs w:val="0"/>
          <w:spacing w:val="-4"/>
          <w:sz w:val="32"/>
          <w:szCs w:val="32"/>
        </w:rPr>
        <w:br/>
        <w:t>4.撰写报告</w:t>
      </w:r>
      <w:r>
        <w:rPr>
          <w:rStyle w:val="ad"/>
          <w:rFonts w:ascii="楷体" w:eastAsia="楷体" w:hAnsi="楷体" w:hint="eastAsia"/>
          <w:b w:val="0"/>
          <w:bCs w:val="0"/>
          <w:spacing w:val="-4"/>
          <w:sz w:val="32"/>
          <w:szCs w:val="32"/>
        </w:rPr>
        <w:br/>
        <w:t>评价小组根据对项目的资料、实施情况进行核实分析后，围绕评</w:t>
      </w:r>
      <w:r>
        <w:rPr>
          <w:rStyle w:val="ad"/>
          <w:rFonts w:ascii="楷体" w:eastAsia="楷体" w:hAnsi="楷体" w:hint="eastAsia"/>
          <w:b w:val="0"/>
          <w:bCs w:val="0"/>
          <w:spacing w:val="-4"/>
          <w:sz w:val="32"/>
          <w:szCs w:val="32"/>
        </w:rPr>
        <w:lastRenderedPageBreak/>
        <w:t>价体系对项目支出绩效进行了评价打分，并撰写了绩效评价报告，报告编制完成后上报至单位领导处进行定稿，最终将定稿报告上报至木垒县财政局，并按照新疆维吾尔自治区财政绩效管理信息系统绩效评价模块中统</w:t>
      </w:r>
      <w:proofErr w:type="gramStart"/>
      <w:r>
        <w:rPr>
          <w:rStyle w:val="ad"/>
          <w:rFonts w:ascii="楷体" w:eastAsia="楷体" w:hAnsi="楷体" w:hint="eastAsia"/>
          <w:b w:val="0"/>
          <w:bCs w:val="0"/>
          <w:spacing w:val="-4"/>
          <w:sz w:val="32"/>
          <w:szCs w:val="32"/>
        </w:rPr>
        <w:t>一</w:t>
      </w:r>
      <w:proofErr w:type="gramEnd"/>
      <w:r>
        <w:rPr>
          <w:rStyle w:val="ad"/>
          <w:rFonts w:ascii="楷体" w:eastAsia="楷体" w:hAnsi="楷体" w:hint="eastAsia"/>
          <w:b w:val="0"/>
          <w:bCs w:val="0"/>
          <w:spacing w:val="-4"/>
          <w:sz w:val="32"/>
          <w:szCs w:val="32"/>
        </w:rPr>
        <w:t>格式和文本框架撰写绩效评价报告并提交审核。</w:t>
      </w:r>
      <w:r>
        <w:rPr>
          <w:rStyle w:val="ad"/>
          <w:rFonts w:ascii="楷体" w:eastAsia="楷体" w:hAnsi="楷体" w:hint="eastAsia"/>
          <w:b w:val="0"/>
          <w:bCs w:val="0"/>
          <w:spacing w:val="-4"/>
          <w:sz w:val="32"/>
          <w:szCs w:val="32"/>
        </w:rPr>
        <w:br/>
        <w:t>5.问题整改</w:t>
      </w:r>
      <w:r>
        <w:rPr>
          <w:rStyle w:val="ad"/>
          <w:rFonts w:ascii="楷体" w:eastAsia="楷体" w:hAnsi="楷体" w:hint="eastAsia"/>
          <w:b w:val="0"/>
          <w:bCs w:val="0"/>
          <w:spacing w:val="-4"/>
          <w:sz w:val="32"/>
          <w:szCs w:val="32"/>
        </w:rPr>
        <w:br/>
        <w:t>经审核通过后，</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小组负责监督和核查整改落实情况，确保绩效评价落到实处。</w:t>
      </w:r>
      <w:r>
        <w:rPr>
          <w:rStyle w:val="ad"/>
          <w:rFonts w:ascii="楷体" w:eastAsia="楷体" w:hAnsi="楷体" w:hint="eastAsia"/>
          <w:b w:val="0"/>
          <w:bCs w:val="0"/>
          <w:spacing w:val="-4"/>
          <w:sz w:val="32"/>
          <w:szCs w:val="32"/>
        </w:rPr>
        <w:br/>
        <w:t>6.资料归档</w:t>
      </w:r>
      <w:r>
        <w:rPr>
          <w:rStyle w:val="ad"/>
          <w:rFonts w:ascii="楷体" w:eastAsia="楷体" w:hAnsi="楷体" w:hint="eastAsia"/>
          <w:b w:val="0"/>
          <w:bCs w:val="0"/>
          <w:spacing w:val="-4"/>
          <w:sz w:val="32"/>
          <w:szCs w:val="32"/>
        </w:rPr>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14:paraId="00BF82EA" w14:textId="77777777" w:rsidR="004E6D7E"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4E0E072D" w14:textId="77777777" w:rsidR="004E6D7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（一）综合评价情况</w:t>
      </w:r>
      <w:r>
        <w:rPr>
          <w:rStyle w:val="ad"/>
          <w:rFonts w:ascii="楷体" w:eastAsia="楷体" w:hAnsi="楷体" w:hint="eastAsia"/>
          <w:b w:val="0"/>
          <w:bCs w:val="0"/>
          <w:spacing w:val="-4"/>
          <w:sz w:val="32"/>
          <w:szCs w:val="32"/>
        </w:rPr>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提升了防控能力、疫情监测预警灵敏性以及公众健康意识，完善监测网络，</w:t>
      </w:r>
      <w:r>
        <w:rPr>
          <w:rStyle w:val="ad"/>
          <w:rFonts w:ascii="楷体" w:eastAsia="楷体" w:hAnsi="楷体" w:hint="eastAsia"/>
          <w:b w:val="0"/>
          <w:bCs w:val="0"/>
          <w:spacing w:val="-4"/>
          <w:sz w:val="32"/>
          <w:szCs w:val="32"/>
        </w:rPr>
        <w:lastRenderedPageBreak/>
        <w:t>开展传染病防治和知识宣传工作。促进了防控体系完善、科研创新以及社会稳定与经济发展。有效防控传染病，减少疫情对生产生活的冲击，保障社会秩序正常，为经济稳定增长创造条件。</w:t>
      </w:r>
      <w:r>
        <w:rPr>
          <w:rStyle w:val="ad"/>
          <w:rFonts w:ascii="楷体" w:eastAsia="楷体" w:hAnsi="楷体" w:hint="eastAsia"/>
          <w:b w:val="0"/>
          <w:bCs w:val="0"/>
          <w:spacing w:val="-4"/>
          <w:sz w:val="32"/>
          <w:szCs w:val="32"/>
        </w:rPr>
        <w:br/>
        <w:t>评价结论</w:t>
      </w:r>
      <w:r>
        <w:rPr>
          <w:rStyle w:val="ad"/>
          <w:rFonts w:ascii="楷体" w:eastAsia="楷体" w:hAnsi="楷体" w:hint="eastAsia"/>
          <w:b w:val="0"/>
          <w:bCs w:val="0"/>
          <w:spacing w:val="-4"/>
          <w:sz w:val="32"/>
          <w:szCs w:val="32"/>
        </w:rPr>
        <w:br/>
        <w:t>(二)评价结论</w:t>
      </w:r>
      <w:r>
        <w:rPr>
          <w:rStyle w:val="ad"/>
          <w:rFonts w:ascii="楷体" w:eastAsia="楷体" w:hAnsi="楷体" w:hint="eastAsia"/>
          <w:b w:val="0"/>
          <w:bCs w:val="0"/>
          <w:spacing w:val="-4"/>
          <w:sz w:val="32"/>
          <w:szCs w:val="32"/>
        </w:rPr>
        <w:br/>
        <w:t>此次绩效评价通过绩效评价小组论证的评价指标体系及评分标准，运用数据采集、问卷调查及访谈等方式，采用比较法和公众评判法对本项目绩效进行客观评价，本项目共设置三级指标数量17个，实现三级指标数量17个，总体完成率为100%。最终评分结果：总分为100分，绩效评级为“优”。综合评价结论如下：</w:t>
      </w:r>
      <w:r>
        <w:rPr>
          <w:rStyle w:val="ad"/>
          <w:rFonts w:ascii="楷体" w:eastAsia="楷体" w:hAnsi="楷体" w:hint="eastAsia"/>
          <w:b w:val="0"/>
          <w:bCs w:val="0"/>
          <w:spacing w:val="-4"/>
          <w:sz w:val="32"/>
          <w:szCs w:val="32"/>
        </w:rPr>
        <w:br/>
        <w:t>项目决策类指标共设置6个，满分指标6个，得分率100%；</w:t>
      </w:r>
      <w:r>
        <w:rPr>
          <w:rStyle w:val="ad"/>
          <w:rFonts w:ascii="楷体" w:eastAsia="楷体" w:hAnsi="楷体" w:hint="eastAsia"/>
          <w:b w:val="0"/>
          <w:bCs w:val="0"/>
          <w:spacing w:val="-4"/>
          <w:sz w:val="32"/>
          <w:szCs w:val="32"/>
        </w:rPr>
        <w:br/>
        <w:t>过程管理类指标共设置5个，满分指标5个，得分率100%；</w:t>
      </w:r>
      <w:r>
        <w:rPr>
          <w:rStyle w:val="ad"/>
          <w:rFonts w:ascii="楷体" w:eastAsia="楷体" w:hAnsi="楷体" w:hint="eastAsia"/>
          <w:b w:val="0"/>
          <w:bCs w:val="0"/>
          <w:spacing w:val="-4"/>
          <w:sz w:val="32"/>
          <w:szCs w:val="32"/>
        </w:rPr>
        <w:br/>
        <w:t>项目产出类指标共设置4个，满分指标4个，得分率100%；</w:t>
      </w:r>
      <w:r>
        <w:rPr>
          <w:rStyle w:val="ad"/>
          <w:rFonts w:ascii="楷体" w:eastAsia="楷体" w:hAnsi="楷体" w:hint="eastAsia"/>
          <w:b w:val="0"/>
          <w:bCs w:val="0"/>
          <w:spacing w:val="-4"/>
          <w:sz w:val="32"/>
          <w:szCs w:val="32"/>
        </w:rPr>
        <w:br/>
        <w:t>项目效益类指标共设置2个，满分指标2个，得分率100%。</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（三）相关评分表</w:t>
      </w:r>
      <w:r>
        <w:rPr>
          <w:rStyle w:val="ad"/>
          <w:rFonts w:ascii="楷体" w:eastAsia="楷体" w:hAnsi="楷体" w:hint="eastAsia"/>
          <w:b w:val="0"/>
          <w:bCs w:val="0"/>
          <w:spacing w:val="-4"/>
          <w:sz w:val="32"/>
          <w:szCs w:val="32"/>
        </w:rPr>
        <w:br/>
        <w:t>各部分权重和绩效分值如下表所示：（详细评分表见附表）</w:t>
      </w:r>
      <w:r>
        <w:rPr>
          <w:rStyle w:val="ad"/>
          <w:rFonts w:ascii="楷体" w:eastAsia="楷体" w:hAnsi="楷体" w:hint="eastAsia"/>
          <w:b w:val="0"/>
          <w:bCs w:val="0"/>
          <w:spacing w:val="-4"/>
          <w:sz w:val="32"/>
          <w:szCs w:val="32"/>
        </w:rPr>
        <w:br/>
        <w:t>指标 项目决策 项目过程 项目产出 项目效益 合计分值</w:t>
      </w:r>
      <w:r>
        <w:rPr>
          <w:rStyle w:val="ad"/>
          <w:rFonts w:ascii="楷体" w:eastAsia="楷体" w:hAnsi="楷体" w:hint="eastAsia"/>
          <w:b w:val="0"/>
          <w:bCs w:val="0"/>
          <w:spacing w:val="-4"/>
          <w:sz w:val="32"/>
          <w:szCs w:val="32"/>
        </w:rPr>
        <w:br/>
        <w:t>权重</w:t>
      </w:r>
      <w:proofErr w:type="gramStart"/>
      <w:r>
        <w:rPr>
          <w:rStyle w:val="ad"/>
          <w:rFonts w:ascii="楷体" w:eastAsia="楷体" w:hAnsi="楷体" w:hint="eastAsia"/>
          <w:b w:val="0"/>
          <w:bCs w:val="0"/>
          <w:spacing w:val="-4"/>
          <w:sz w:val="32"/>
          <w:szCs w:val="32"/>
        </w:rPr>
        <w:t xml:space="preserve"> 15 15</w:t>
      </w:r>
      <w:proofErr w:type="gramEnd"/>
      <w:r>
        <w:rPr>
          <w:rStyle w:val="ad"/>
          <w:rFonts w:ascii="楷体" w:eastAsia="楷体" w:hAnsi="楷体" w:hint="eastAsia"/>
          <w:b w:val="0"/>
          <w:bCs w:val="0"/>
          <w:spacing w:val="-4"/>
          <w:sz w:val="32"/>
          <w:szCs w:val="32"/>
        </w:rPr>
        <w:t xml:space="preserve"> 50 20 100</w:t>
      </w:r>
      <w:r>
        <w:rPr>
          <w:rStyle w:val="ad"/>
          <w:rFonts w:ascii="楷体" w:eastAsia="楷体" w:hAnsi="楷体" w:hint="eastAsia"/>
          <w:b w:val="0"/>
          <w:bCs w:val="0"/>
          <w:spacing w:val="-4"/>
          <w:sz w:val="32"/>
          <w:szCs w:val="32"/>
        </w:rPr>
        <w:br/>
        <w:t>分值</w:t>
      </w:r>
      <w:proofErr w:type="gramStart"/>
      <w:r>
        <w:rPr>
          <w:rStyle w:val="ad"/>
          <w:rFonts w:ascii="楷体" w:eastAsia="楷体" w:hAnsi="楷体" w:hint="eastAsia"/>
          <w:b w:val="0"/>
          <w:bCs w:val="0"/>
          <w:spacing w:val="-4"/>
          <w:sz w:val="32"/>
          <w:szCs w:val="32"/>
        </w:rPr>
        <w:t xml:space="preserve"> 15 15</w:t>
      </w:r>
      <w:proofErr w:type="gramEnd"/>
      <w:r>
        <w:rPr>
          <w:rStyle w:val="ad"/>
          <w:rFonts w:ascii="楷体" w:eastAsia="楷体" w:hAnsi="楷体" w:hint="eastAsia"/>
          <w:b w:val="0"/>
          <w:bCs w:val="0"/>
          <w:spacing w:val="-4"/>
          <w:sz w:val="32"/>
          <w:szCs w:val="32"/>
        </w:rPr>
        <w:t xml:space="preserve"> 50 20 100</w:t>
      </w:r>
    </w:p>
    <w:p w14:paraId="0B361DB9" w14:textId="77777777" w:rsidR="004E6D7E" w:rsidRDefault="00000000">
      <w:pPr>
        <w:spacing w:line="540" w:lineRule="exact"/>
        <w:ind w:firstLine="640"/>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361EEF04" w14:textId="77777777" w:rsidR="004E6D7E"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5BC437C1" w14:textId="77777777" w:rsidR="004E6D7E" w:rsidRDefault="00000000">
      <w:pPr>
        <w:tabs>
          <w:tab w:val="center" w:pos="4295"/>
        </w:tabs>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项目决策类指标由4个二级指标和6个三级指标构成，权重分15分，实际得分15分。</w:t>
      </w:r>
      <w:r>
        <w:rPr>
          <w:rStyle w:val="ad"/>
          <w:rFonts w:ascii="楷体" w:eastAsia="楷体" w:hAnsi="楷体" w:hint="eastAsia"/>
          <w:b w:val="0"/>
          <w:bCs w:val="0"/>
          <w:spacing w:val="-4"/>
          <w:sz w:val="32"/>
          <w:szCs w:val="32"/>
        </w:rPr>
        <w:br/>
        <w:t>1.立项依据充分性</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（1）《关于提前下达2024年中央重大传染病防控补助资金》昌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（2023）78号文件</w:t>
      </w:r>
      <w:r>
        <w:rPr>
          <w:rStyle w:val="ad"/>
          <w:rFonts w:ascii="楷体" w:eastAsia="楷体" w:hAnsi="楷体" w:hint="eastAsia"/>
          <w:b w:val="0"/>
          <w:bCs w:val="0"/>
          <w:spacing w:val="-4"/>
          <w:sz w:val="32"/>
          <w:szCs w:val="32"/>
        </w:rPr>
        <w:br/>
        <w:t>（2）《关于拨付2024年中央财政重大传染病防控经费预算的通知》昌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【2024】4号文件</w:t>
      </w:r>
      <w:r>
        <w:rPr>
          <w:rStyle w:val="ad"/>
          <w:rFonts w:ascii="楷体" w:eastAsia="楷体" w:hAnsi="楷体" w:hint="eastAsia"/>
          <w:b w:val="0"/>
          <w:bCs w:val="0"/>
          <w:spacing w:val="-4"/>
          <w:sz w:val="32"/>
          <w:szCs w:val="32"/>
        </w:rPr>
        <w:br/>
        <w:t>（3）《中央重大公共卫生服务补助资金》昌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【2024】54号文件</w:t>
      </w:r>
      <w:r>
        <w:rPr>
          <w:rStyle w:val="ad"/>
          <w:rFonts w:ascii="楷体" w:eastAsia="楷体" w:hAnsi="楷体" w:hint="eastAsia"/>
          <w:b w:val="0"/>
          <w:bCs w:val="0"/>
          <w:spacing w:val="-4"/>
          <w:sz w:val="32"/>
          <w:szCs w:val="32"/>
        </w:rPr>
        <w:br/>
        <w:t>综上所述，本指标满分为2分，根据评分标准得2分，本项目立项依据充分。</w:t>
      </w:r>
      <w:r>
        <w:rPr>
          <w:rStyle w:val="ad"/>
          <w:rFonts w:ascii="楷体" w:eastAsia="楷体" w:hAnsi="楷体" w:hint="eastAsia"/>
          <w:b w:val="0"/>
          <w:bCs w:val="0"/>
          <w:spacing w:val="-4"/>
          <w:sz w:val="32"/>
          <w:szCs w:val="32"/>
        </w:rPr>
        <w:br/>
        <w:t>2.立项程序规范性</w:t>
      </w:r>
      <w:r>
        <w:rPr>
          <w:rStyle w:val="ad"/>
          <w:rFonts w:ascii="楷体" w:eastAsia="楷体" w:hAnsi="楷体" w:hint="eastAsia"/>
          <w:b w:val="0"/>
          <w:bCs w:val="0"/>
          <w:spacing w:val="-4"/>
          <w:sz w:val="32"/>
          <w:szCs w:val="32"/>
        </w:rPr>
        <w:br/>
        <w:t>①项目立项程序：提报项目建议书、申请立项过程等均按照立项程序的相关规定进行；</w:t>
      </w:r>
      <w:r>
        <w:rPr>
          <w:rStyle w:val="ad"/>
          <w:rFonts w:ascii="楷体" w:eastAsia="楷体" w:hAnsi="楷体" w:hint="eastAsia"/>
          <w:b w:val="0"/>
          <w:bCs w:val="0"/>
          <w:spacing w:val="-4"/>
          <w:sz w:val="32"/>
          <w:szCs w:val="32"/>
        </w:rPr>
        <w:br/>
        <w:t>②审批文件、材料：本项目审批文件有：《昌州财社（2023）78号》、《昌州财社【2024】4号》、《昌州财社【2024】54号》，审批文件及材料齐全；</w:t>
      </w:r>
      <w:r>
        <w:rPr>
          <w:rStyle w:val="ad"/>
          <w:rFonts w:ascii="楷体" w:eastAsia="楷体" w:hAnsi="楷体" w:hint="eastAsia"/>
          <w:b w:val="0"/>
          <w:bCs w:val="0"/>
          <w:spacing w:val="-4"/>
          <w:sz w:val="32"/>
          <w:szCs w:val="32"/>
        </w:rPr>
        <w:br/>
        <w:t>③项目事前工作：本项目已经过必要的可行性研究、专家论证、风险评估、绩效评估、集体决策。</w:t>
      </w:r>
      <w:r>
        <w:rPr>
          <w:rStyle w:val="ad"/>
          <w:rFonts w:ascii="楷体" w:eastAsia="楷体" w:hAnsi="楷体" w:hint="eastAsia"/>
          <w:b w:val="0"/>
          <w:bCs w:val="0"/>
          <w:spacing w:val="-4"/>
          <w:sz w:val="32"/>
          <w:szCs w:val="32"/>
        </w:rPr>
        <w:br/>
        <w:t>综上所述，本指标满分为2分，根据评分标准得2分，本项目立项程序规范。</w:t>
      </w:r>
      <w:r>
        <w:rPr>
          <w:rStyle w:val="ad"/>
          <w:rFonts w:ascii="楷体" w:eastAsia="楷体" w:hAnsi="楷体" w:hint="eastAsia"/>
          <w:b w:val="0"/>
          <w:bCs w:val="0"/>
          <w:spacing w:val="-4"/>
          <w:sz w:val="32"/>
          <w:szCs w:val="32"/>
        </w:rPr>
        <w:br/>
        <w:t>3.绩效目标合理性</w:t>
      </w:r>
      <w:r>
        <w:rPr>
          <w:rStyle w:val="ad"/>
          <w:rFonts w:ascii="楷体" w:eastAsia="楷体" w:hAnsi="楷体" w:hint="eastAsia"/>
          <w:b w:val="0"/>
          <w:bCs w:val="0"/>
          <w:spacing w:val="-4"/>
          <w:sz w:val="32"/>
          <w:szCs w:val="32"/>
        </w:rPr>
        <w:br/>
        <w:t>重大传染病防控经费项目已设立项目绩效目标，具体内容为“依据昌州财社（2023）78号、昌州财社【2024】4号和</w:t>
      </w:r>
      <w:proofErr w:type="gramStart"/>
      <w:r>
        <w:rPr>
          <w:rStyle w:val="ad"/>
          <w:rFonts w:ascii="楷体" w:eastAsia="楷体" w:hAnsi="楷体" w:hint="eastAsia"/>
          <w:b w:val="0"/>
          <w:bCs w:val="0"/>
          <w:spacing w:val="-4"/>
          <w:sz w:val="32"/>
          <w:szCs w:val="32"/>
        </w:rPr>
        <w:t>昌州财社</w:t>
      </w:r>
      <w:proofErr w:type="gramEnd"/>
      <w:r>
        <w:rPr>
          <w:rStyle w:val="ad"/>
          <w:rFonts w:ascii="楷体" w:eastAsia="楷体" w:hAnsi="楷体" w:hint="eastAsia"/>
          <w:b w:val="0"/>
          <w:bCs w:val="0"/>
          <w:spacing w:val="-4"/>
          <w:sz w:val="32"/>
          <w:szCs w:val="32"/>
        </w:rPr>
        <w:t>【2024】54号文件，木垒县疾病预防控制中心计划2024年开展重大传染病防控工作，其中免疫规划3万元，结核病防治12.9万元，艾滋病防治6.02万元，慢病防控5.5万元，精神卫生0.35万元，包虫病防治34.1万元，饮用水卫生监测21.5万元，学生常见病</w:t>
      </w:r>
      <w:r>
        <w:rPr>
          <w:rStyle w:val="ad"/>
          <w:rFonts w:ascii="楷体" w:eastAsia="楷体" w:hAnsi="楷体" w:hint="eastAsia"/>
          <w:b w:val="0"/>
          <w:bCs w:val="0"/>
          <w:spacing w:val="-4"/>
          <w:sz w:val="32"/>
          <w:szCs w:val="32"/>
        </w:rPr>
        <w:lastRenderedPageBreak/>
        <w:t>10.3万元，布病监测26.5万元，食品安全保障0.4万元，能力提升17万元，主要通过冷链转运，保证疫苗质量，以预防和控制特定传染病的发生和流行；通过结核病、艾滋病、包虫病筛查、患者服用药物，提升防治工作质量，降低结核病发病和死亡；通过精神卫生工作，保证精神障碍患者享受精神卫生服务，维护和促进患者心理健康。”，与单位主要职责具有相关性，绩效目标与实际工作内容一致，本项目按照绩效目标完成了数量指标、质量指标、时效指标、成本指标，有效防控传染病，减少疫情对生产生活的冲击，保障社会秩序正常，为经济稳定增长创造条件。，项目的预期产出效益和效果也均能符合正常的业绩水平，并且与预算确定的项目投资额或资金量相匹配。</w:t>
      </w:r>
      <w:r>
        <w:rPr>
          <w:rStyle w:val="ad"/>
          <w:rFonts w:ascii="楷体" w:eastAsia="楷体" w:hAnsi="楷体" w:hint="eastAsia"/>
          <w:b w:val="0"/>
          <w:bCs w:val="0"/>
          <w:spacing w:val="-4"/>
          <w:sz w:val="32"/>
          <w:szCs w:val="32"/>
        </w:rPr>
        <w:br/>
        <w:t>综上所述，本指标满分为2分，根据评分标准得2分，本项目绩效目标设置合理。</w:t>
      </w:r>
      <w:r>
        <w:rPr>
          <w:rStyle w:val="ad"/>
          <w:rFonts w:ascii="楷体" w:eastAsia="楷体" w:hAnsi="楷体" w:hint="eastAsia"/>
          <w:b w:val="0"/>
          <w:bCs w:val="0"/>
          <w:spacing w:val="-4"/>
          <w:sz w:val="32"/>
          <w:szCs w:val="32"/>
        </w:rPr>
        <w:br/>
        <w:t>4.绩效指标明确性</w:t>
      </w:r>
      <w:r>
        <w:rPr>
          <w:rStyle w:val="ad"/>
          <w:rFonts w:ascii="楷体" w:eastAsia="楷体" w:hAnsi="楷体" w:hint="eastAsia"/>
          <w:b w:val="0"/>
          <w:bCs w:val="0"/>
          <w:spacing w:val="-4"/>
          <w:sz w:val="32"/>
          <w:szCs w:val="32"/>
        </w:rPr>
        <w:br/>
        <w:t>重大传染病防控经费项目将项目绩效目标细化分解为具体的绩效指标，一级指标共3条，二级指标共5条，三级指标共21条，其中定量指标数量共21条，指标量化率100%，超过70%。所有绩效指标均通过清晰、可衡量的指标</w:t>
      </w:r>
      <w:proofErr w:type="gramStart"/>
      <w:r>
        <w:rPr>
          <w:rStyle w:val="ad"/>
          <w:rFonts w:ascii="楷体" w:eastAsia="楷体" w:hAnsi="楷体" w:hint="eastAsia"/>
          <w:b w:val="0"/>
          <w:bCs w:val="0"/>
          <w:spacing w:val="-4"/>
          <w:sz w:val="32"/>
          <w:szCs w:val="32"/>
        </w:rPr>
        <w:t>值予以</w:t>
      </w:r>
      <w:proofErr w:type="gramEnd"/>
      <w:r>
        <w:rPr>
          <w:rStyle w:val="ad"/>
          <w:rFonts w:ascii="楷体" w:eastAsia="楷体" w:hAnsi="楷体" w:hint="eastAsia"/>
          <w:b w:val="0"/>
          <w:bCs w:val="0"/>
          <w:spacing w:val="-4"/>
          <w:sz w:val="32"/>
          <w:szCs w:val="32"/>
        </w:rPr>
        <w:t>体现，并且做到了与项目目标任务数或计划数相对应。</w:t>
      </w:r>
      <w:r>
        <w:rPr>
          <w:rStyle w:val="ad"/>
          <w:rFonts w:ascii="楷体" w:eastAsia="楷体" w:hAnsi="楷体" w:hint="eastAsia"/>
          <w:b w:val="0"/>
          <w:bCs w:val="0"/>
          <w:spacing w:val="-4"/>
          <w:sz w:val="32"/>
          <w:szCs w:val="32"/>
        </w:rPr>
        <w:br/>
        <w:t>综上所述，本指标满分为3.00分，根据评分标准得3.00分，本项目所设置绩效指标明确。</w:t>
      </w:r>
      <w:r>
        <w:rPr>
          <w:rStyle w:val="ad"/>
          <w:rFonts w:ascii="楷体" w:eastAsia="楷体" w:hAnsi="楷体" w:hint="eastAsia"/>
          <w:b w:val="0"/>
          <w:bCs w:val="0"/>
          <w:spacing w:val="-4"/>
          <w:sz w:val="32"/>
          <w:szCs w:val="32"/>
        </w:rPr>
        <w:br/>
        <w:t>5.预算编制科学性</w:t>
      </w:r>
      <w:r>
        <w:rPr>
          <w:rStyle w:val="ad"/>
          <w:rFonts w:ascii="楷体" w:eastAsia="楷体" w:hAnsi="楷体" w:hint="eastAsia"/>
          <w:b w:val="0"/>
          <w:bCs w:val="0"/>
          <w:spacing w:val="-4"/>
          <w:sz w:val="32"/>
          <w:szCs w:val="32"/>
        </w:rPr>
        <w:br/>
        <w:t>本项目预算编制参照《昌州财社（2023）78号》、《昌州财社【2024】4号》和《昌州财社【2024】54号文件》得出，项目预算编制根据项目内容进行计算，预算</w:t>
      </w:r>
      <w:proofErr w:type="gramStart"/>
      <w:r>
        <w:rPr>
          <w:rStyle w:val="ad"/>
          <w:rFonts w:ascii="楷体" w:eastAsia="楷体" w:hAnsi="楷体" w:hint="eastAsia"/>
          <w:b w:val="0"/>
          <w:bCs w:val="0"/>
          <w:spacing w:val="-4"/>
          <w:sz w:val="32"/>
          <w:szCs w:val="32"/>
        </w:rPr>
        <w:t>数经过</w:t>
      </w:r>
      <w:proofErr w:type="gramEnd"/>
      <w:r>
        <w:rPr>
          <w:rStyle w:val="ad"/>
          <w:rFonts w:ascii="楷体" w:eastAsia="楷体" w:hAnsi="楷体" w:hint="eastAsia"/>
          <w:b w:val="0"/>
          <w:bCs w:val="0"/>
          <w:spacing w:val="-4"/>
          <w:sz w:val="32"/>
          <w:szCs w:val="32"/>
        </w:rPr>
        <w:t>支委会会议确定，预算内容与</w:t>
      </w:r>
      <w:r>
        <w:rPr>
          <w:rStyle w:val="ad"/>
          <w:rFonts w:ascii="楷体" w:eastAsia="楷体" w:hAnsi="楷体" w:hint="eastAsia"/>
          <w:b w:val="0"/>
          <w:bCs w:val="0"/>
          <w:spacing w:val="-4"/>
          <w:sz w:val="32"/>
          <w:szCs w:val="32"/>
        </w:rPr>
        <w:lastRenderedPageBreak/>
        <w:t>项目内容无偏差，预算</w:t>
      </w:r>
      <w:proofErr w:type="gramStart"/>
      <w:r>
        <w:rPr>
          <w:rStyle w:val="ad"/>
          <w:rFonts w:ascii="楷体" w:eastAsia="楷体" w:hAnsi="楷体" w:hint="eastAsia"/>
          <w:b w:val="0"/>
          <w:bCs w:val="0"/>
          <w:spacing w:val="-4"/>
          <w:sz w:val="32"/>
          <w:szCs w:val="32"/>
        </w:rPr>
        <w:t>编制较</w:t>
      </w:r>
      <w:proofErr w:type="gramEnd"/>
      <w:r>
        <w:rPr>
          <w:rStyle w:val="ad"/>
          <w:rFonts w:ascii="楷体" w:eastAsia="楷体" w:hAnsi="楷体" w:hint="eastAsia"/>
          <w:b w:val="0"/>
          <w:bCs w:val="0"/>
          <w:spacing w:val="-4"/>
          <w:sz w:val="32"/>
          <w:szCs w:val="32"/>
        </w:rPr>
        <w:t>科学。本项目预算额度测算依据充分，参照标准编制，预算确定资金量与实际工作任务相匹配。</w:t>
      </w:r>
      <w:r>
        <w:rPr>
          <w:rStyle w:val="ad"/>
          <w:rFonts w:ascii="楷体" w:eastAsia="楷体" w:hAnsi="楷体" w:hint="eastAsia"/>
          <w:b w:val="0"/>
          <w:bCs w:val="0"/>
          <w:spacing w:val="-4"/>
          <w:sz w:val="32"/>
          <w:szCs w:val="32"/>
        </w:rPr>
        <w:br/>
        <w:t>综上所述，本指标满分为4.00分，根据评分标准4.00分，本项目预算编制科学。</w:t>
      </w:r>
      <w:r>
        <w:rPr>
          <w:rStyle w:val="ad"/>
          <w:rFonts w:ascii="楷体" w:eastAsia="楷体" w:hAnsi="楷体" w:hint="eastAsia"/>
          <w:b w:val="0"/>
          <w:bCs w:val="0"/>
          <w:spacing w:val="-4"/>
          <w:sz w:val="32"/>
          <w:szCs w:val="32"/>
        </w:rPr>
        <w:br/>
        <w:t>6.资金分配合理性</w:t>
      </w:r>
      <w:r>
        <w:rPr>
          <w:rStyle w:val="ad"/>
          <w:rFonts w:ascii="楷体" w:eastAsia="楷体" w:hAnsi="楷体" w:hint="eastAsia"/>
          <w:b w:val="0"/>
          <w:bCs w:val="0"/>
          <w:spacing w:val="-4"/>
          <w:sz w:val="32"/>
          <w:szCs w:val="32"/>
        </w:rPr>
        <w:br/>
        <w:t>本项目预算资金分配以《昌州财社（2023）78号》、《昌州财社【2024】4号》和</w:t>
      </w:r>
      <w:proofErr w:type="gramStart"/>
      <w:r>
        <w:rPr>
          <w:rStyle w:val="ad"/>
          <w:rFonts w:ascii="楷体" w:eastAsia="楷体" w:hAnsi="楷体" w:hint="eastAsia"/>
          <w:b w:val="0"/>
          <w:bCs w:val="0"/>
          <w:spacing w:val="-4"/>
          <w:sz w:val="32"/>
          <w:szCs w:val="32"/>
        </w:rPr>
        <w:t>《</w:t>
      </w:r>
      <w:proofErr w:type="gramEnd"/>
      <w:r>
        <w:rPr>
          <w:rStyle w:val="ad"/>
          <w:rFonts w:ascii="楷体" w:eastAsia="楷体" w:hAnsi="楷体" w:hint="eastAsia"/>
          <w:b w:val="0"/>
          <w:bCs w:val="0"/>
          <w:spacing w:val="-4"/>
          <w:sz w:val="32"/>
          <w:szCs w:val="32"/>
        </w:rPr>
        <w:t>昌州财社【2024】54号文件为依据进行资金分配，预算资金分配依据充分。项目资金分配额度无偏低或偏高情况，分配额度合理。根据昌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（2023）78号</w:t>
      </w:r>
      <w:proofErr w:type="gramStart"/>
      <w:r>
        <w:rPr>
          <w:rStyle w:val="ad"/>
          <w:rFonts w:ascii="楷体" w:eastAsia="楷体" w:hAnsi="楷体" w:hint="eastAsia"/>
          <w:b w:val="0"/>
          <w:bCs w:val="0"/>
          <w:spacing w:val="-4"/>
          <w:sz w:val="32"/>
          <w:szCs w:val="32"/>
        </w:rPr>
        <w:t>》</w:t>
      </w:r>
      <w:proofErr w:type="gramEnd"/>
      <w:r>
        <w:rPr>
          <w:rStyle w:val="ad"/>
          <w:rFonts w:ascii="楷体" w:eastAsia="楷体" w:hAnsi="楷体" w:hint="eastAsia"/>
          <w:b w:val="0"/>
          <w:bCs w:val="0"/>
          <w:spacing w:val="-4"/>
          <w:sz w:val="32"/>
          <w:szCs w:val="32"/>
        </w:rPr>
        <w:t>、《昌州财社【2024】4号》和</w:t>
      </w:r>
      <w:proofErr w:type="gramStart"/>
      <w:r>
        <w:rPr>
          <w:rStyle w:val="ad"/>
          <w:rFonts w:ascii="楷体" w:eastAsia="楷体" w:hAnsi="楷体" w:hint="eastAsia"/>
          <w:b w:val="0"/>
          <w:bCs w:val="0"/>
          <w:spacing w:val="-4"/>
          <w:sz w:val="32"/>
          <w:szCs w:val="32"/>
        </w:rPr>
        <w:t>《</w:t>
      </w:r>
      <w:proofErr w:type="gramEnd"/>
      <w:r>
        <w:rPr>
          <w:rStyle w:val="ad"/>
          <w:rFonts w:ascii="楷体" w:eastAsia="楷体" w:hAnsi="楷体" w:hint="eastAsia"/>
          <w:b w:val="0"/>
          <w:bCs w:val="0"/>
          <w:spacing w:val="-4"/>
          <w:sz w:val="32"/>
          <w:szCs w:val="32"/>
        </w:rPr>
        <w:t>昌州财社【2024】54号</w:t>
      </w:r>
      <w:proofErr w:type="gramStart"/>
      <w:r>
        <w:rPr>
          <w:rStyle w:val="ad"/>
          <w:rFonts w:ascii="楷体" w:eastAsia="楷体" w:hAnsi="楷体" w:hint="eastAsia"/>
          <w:b w:val="0"/>
          <w:bCs w:val="0"/>
          <w:spacing w:val="-4"/>
          <w:sz w:val="32"/>
          <w:szCs w:val="32"/>
        </w:rPr>
        <w:t>文件文件</w:t>
      </w:r>
      <w:proofErr w:type="gramEnd"/>
      <w:r>
        <w:rPr>
          <w:rStyle w:val="ad"/>
          <w:rFonts w:ascii="楷体" w:eastAsia="楷体" w:hAnsi="楷体" w:hint="eastAsia"/>
          <w:b w:val="0"/>
          <w:bCs w:val="0"/>
          <w:spacing w:val="-4"/>
          <w:sz w:val="32"/>
          <w:szCs w:val="32"/>
        </w:rPr>
        <w:t>显示，本项目实际到位资金137.57万元，实际分配资金与我单位提交申请的资金额度一致，资金分配额度合理，与我单位实际需求相适应。</w:t>
      </w:r>
      <w:r>
        <w:rPr>
          <w:rStyle w:val="ad"/>
          <w:rFonts w:ascii="楷体" w:eastAsia="楷体" w:hAnsi="楷体" w:hint="eastAsia"/>
          <w:b w:val="0"/>
          <w:bCs w:val="0"/>
          <w:spacing w:val="-4"/>
          <w:sz w:val="32"/>
          <w:szCs w:val="32"/>
        </w:rPr>
        <w:br/>
        <w:t>综上所述，本指标满分为2.00分，根据评分标准得2.00分，本项目资金分配合理。</w:t>
      </w:r>
      <w:r>
        <w:rPr>
          <w:rStyle w:val="ad"/>
          <w:rFonts w:ascii="楷体" w:eastAsia="楷体" w:hAnsi="楷体" w:hint="eastAsia"/>
          <w:b w:val="0"/>
          <w:bCs w:val="0"/>
          <w:spacing w:val="-4"/>
          <w:sz w:val="32"/>
          <w:szCs w:val="32"/>
        </w:rPr>
        <w:tab/>
      </w:r>
    </w:p>
    <w:p w14:paraId="119BD603" w14:textId="77777777" w:rsidR="004E6D7E" w:rsidRDefault="00000000">
      <w:pPr>
        <w:spacing w:line="540" w:lineRule="exact"/>
        <w:ind w:firstLineChars="181" w:firstLine="56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26DDDF9" w14:textId="77777777" w:rsidR="004E6D7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1.资金到位率：</w:t>
      </w:r>
      <w:r>
        <w:rPr>
          <w:rStyle w:val="ad"/>
          <w:rFonts w:ascii="楷体" w:eastAsia="楷体" w:hAnsi="楷体" w:hint="eastAsia"/>
          <w:b w:val="0"/>
          <w:bCs w:val="0"/>
          <w:spacing w:val="-4"/>
          <w:sz w:val="32"/>
          <w:szCs w:val="32"/>
        </w:rPr>
        <w:br/>
        <w:t>本项目预算资金为137.57万元，其中：自治区财政安排资金137.57万元，其他资金0万元，实际到位资金137.57万元，资金到位率=（实际到位资金/预算资金）×100.00%=（137.57/137.57）*100.00%=100%。得分=资金到位率*分值=100.00%*3=3.00分。</w:t>
      </w:r>
      <w:r>
        <w:rPr>
          <w:rStyle w:val="ad"/>
          <w:rFonts w:ascii="楷体" w:eastAsia="楷体" w:hAnsi="楷体" w:hint="eastAsia"/>
          <w:b w:val="0"/>
          <w:bCs w:val="0"/>
          <w:spacing w:val="-4"/>
          <w:sz w:val="32"/>
          <w:szCs w:val="32"/>
        </w:rPr>
        <w:br/>
        <w:t>综上所述，本指标满分为3.00分，根据评分标准得3.00分，本项目资金落实到位。</w:t>
      </w:r>
      <w:r>
        <w:rPr>
          <w:rStyle w:val="ad"/>
          <w:rFonts w:ascii="楷体" w:eastAsia="楷体" w:hAnsi="楷体" w:hint="eastAsia"/>
          <w:b w:val="0"/>
          <w:bCs w:val="0"/>
          <w:spacing w:val="-4"/>
          <w:sz w:val="32"/>
          <w:szCs w:val="32"/>
        </w:rPr>
        <w:br/>
        <w:t>2.预算执行率</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本项目年初预算数0万元，全年预算数137.57万元，全年执行数137.57万元，预算执行率=（实际支出资金/实际到位资金）×100.00%=（137.57/137.57）*100.00%=100X%。得分=预算执行率*分值=100%*5=5分。</w:t>
      </w:r>
      <w:r>
        <w:rPr>
          <w:rStyle w:val="ad"/>
          <w:rFonts w:ascii="楷体" w:eastAsia="楷体" w:hAnsi="楷体" w:hint="eastAsia"/>
          <w:b w:val="0"/>
          <w:bCs w:val="0"/>
          <w:spacing w:val="-4"/>
          <w:sz w:val="32"/>
          <w:szCs w:val="32"/>
        </w:rPr>
        <w:br/>
        <w:t>综上所述，本指标满分为5.00分，根据评分标准得5分，本项目预算按计划执行。</w:t>
      </w:r>
      <w:r>
        <w:rPr>
          <w:rStyle w:val="ad"/>
          <w:rFonts w:ascii="楷体" w:eastAsia="楷体" w:hAnsi="楷体" w:hint="eastAsia"/>
          <w:b w:val="0"/>
          <w:bCs w:val="0"/>
          <w:spacing w:val="-4"/>
          <w:sz w:val="32"/>
          <w:szCs w:val="32"/>
        </w:rPr>
        <w:br/>
        <w:t>3.资金使用合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w:t>
      </w:r>
      <w:r>
        <w:rPr>
          <w:rStyle w:val="ad"/>
          <w:rFonts w:ascii="楷体" w:eastAsia="楷体" w:hAnsi="楷体" w:hint="eastAsia"/>
          <w:b w:val="0"/>
          <w:bCs w:val="0"/>
          <w:spacing w:val="-4"/>
          <w:sz w:val="32"/>
          <w:szCs w:val="32"/>
        </w:rPr>
        <w:br/>
        <w:t>3.1本项目资金使用符合、财务管理制度以及有关专项资金管理办法的规定；</w:t>
      </w:r>
      <w:r>
        <w:rPr>
          <w:rStyle w:val="ad"/>
          <w:rFonts w:ascii="楷体" w:eastAsia="楷体" w:hAnsi="楷体" w:hint="eastAsia"/>
          <w:b w:val="0"/>
          <w:bCs w:val="0"/>
          <w:spacing w:val="-4"/>
          <w:sz w:val="32"/>
          <w:szCs w:val="32"/>
        </w:rPr>
        <w:br/>
        <w:t>3.2资金的拨付严格按照木垒</w:t>
      </w:r>
      <w:proofErr w:type="gramStart"/>
      <w:r>
        <w:rPr>
          <w:rStyle w:val="ad"/>
          <w:rFonts w:ascii="楷体" w:eastAsia="楷体" w:hAnsi="楷体" w:hint="eastAsia"/>
          <w:b w:val="0"/>
          <w:bCs w:val="0"/>
          <w:spacing w:val="-4"/>
          <w:sz w:val="32"/>
          <w:szCs w:val="32"/>
        </w:rPr>
        <w:t>县疾病</w:t>
      </w:r>
      <w:proofErr w:type="gramEnd"/>
      <w:r>
        <w:rPr>
          <w:rStyle w:val="ad"/>
          <w:rFonts w:ascii="楷体" w:eastAsia="楷体" w:hAnsi="楷体" w:hint="eastAsia"/>
          <w:b w:val="0"/>
          <w:bCs w:val="0"/>
          <w:spacing w:val="-4"/>
          <w:sz w:val="32"/>
          <w:szCs w:val="32"/>
        </w:rPr>
        <w:t>预防控制中心资金拨付审批程序进行：由采购科室提交办公室申请到分管领导，经审批后提交到主管领导。项目资金拨付手续齐全，资金拨付手续有：资金支付申请单、发票、合同。</w:t>
      </w:r>
      <w:r>
        <w:rPr>
          <w:rStyle w:val="ad"/>
          <w:rFonts w:ascii="楷体" w:eastAsia="楷体" w:hAnsi="楷体" w:hint="eastAsia"/>
          <w:b w:val="0"/>
          <w:bCs w:val="0"/>
          <w:spacing w:val="-4"/>
          <w:sz w:val="32"/>
          <w:szCs w:val="32"/>
        </w:rPr>
        <w:br/>
        <w:t>3.3本项目资金合同规定的用途为：办公费、专用材料费、专用设备购置费、委托业务费、其他交通费用。符合项目预算批复及合同规定的用途；</w:t>
      </w:r>
      <w:r>
        <w:rPr>
          <w:rStyle w:val="ad"/>
          <w:rFonts w:ascii="楷体" w:eastAsia="楷体" w:hAnsi="楷体" w:hint="eastAsia"/>
          <w:b w:val="0"/>
          <w:bCs w:val="0"/>
          <w:spacing w:val="-4"/>
          <w:sz w:val="32"/>
          <w:szCs w:val="32"/>
        </w:rPr>
        <w:br/>
        <w:t>3.4项目资金截至2024年2月4日已拨付至100%，过程不存在截留、挤占、挪用、虚列支出等情况。</w:t>
      </w:r>
      <w:r>
        <w:rPr>
          <w:rStyle w:val="ad"/>
          <w:rFonts w:ascii="楷体" w:eastAsia="楷体" w:hAnsi="楷体" w:hint="eastAsia"/>
          <w:b w:val="0"/>
          <w:bCs w:val="0"/>
          <w:spacing w:val="-4"/>
          <w:sz w:val="32"/>
          <w:szCs w:val="32"/>
        </w:rPr>
        <w:br/>
        <w:t>4.管理制度健全性</w:t>
      </w:r>
      <w:r>
        <w:rPr>
          <w:rStyle w:val="ad"/>
          <w:rFonts w:ascii="楷体" w:eastAsia="楷体" w:hAnsi="楷体" w:hint="eastAsia"/>
          <w:b w:val="0"/>
          <w:bCs w:val="0"/>
          <w:spacing w:val="-4"/>
          <w:sz w:val="32"/>
          <w:szCs w:val="32"/>
        </w:rPr>
        <w:br/>
        <w:t>4.1本项目已制定《木垒县疾病预防控制中心重大传染病防控经费项目财务管理制度》、《木垒县疾病预防控制中心重大传染病防控经费项目业务管理制度》，管理制度健全；</w:t>
      </w:r>
      <w:r>
        <w:rPr>
          <w:rStyle w:val="ad"/>
          <w:rFonts w:ascii="楷体" w:eastAsia="楷体" w:hAnsi="楷体" w:hint="eastAsia"/>
          <w:b w:val="0"/>
          <w:bCs w:val="0"/>
          <w:spacing w:val="-4"/>
          <w:sz w:val="32"/>
          <w:szCs w:val="32"/>
        </w:rPr>
        <w:br/>
        <w:t>4.2本项目财务及业务管理制度符合《中华人民共和国政府采购法》、《中华人民共和国会计法》等相关法律法规，财务和业务管理制度已经过支委会审批通过，确保了各项制度的合法合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性及</w:t>
      </w:r>
      <w:r>
        <w:rPr>
          <w:rStyle w:val="ad"/>
          <w:rFonts w:ascii="楷体" w:eastAsia="楷体" w:hAnsi="楷体" w:hint="eastAsia"/>
          <w:b w:val="0"/>
          <w:bCs w:val="0"/>
          <w:spacing w:val="-4"/>
          <w:sz w:val="32"/>
          <w:szCs w:val="32"/>
        </w:rPr>
        <w:lastRenderedPageBreak/>
        <w:t>完整性。</w:t>
      </w:r>
      <w:r>
        <w:rPr>
          <w:rStyle w:val="ad"/>
          <w:rFonts w:ascii="楷体" w:eastAsia="楷体" w:hAnsi="楷体" w:hint="eastAsia"/>
          <w:b w:val="0"/>
          <w:bCs w:val="0"/>
          <w:spacing w:val="-4"/>
          <w:sz w:val="32"/>
          <w:szCs w:val="32"/>
        </w:rPr>
        <w:br/>
        <w:t>综上所述，本指标满分为3.00分，根据评分标准得3.00分，项目制度建设健全。</w:t>
      </w:r>
      <w:r>
        <w:rPr>
          <w:rStyle w:val="ad"/>
          <w:rFonts w:ascii="楷体" w:eastAsia="楷体" w:hAnsi="楷体" w:hint="eastAsia"/>
          <w:b w:val="0"/>
          <w:bCs w:val="0"/>
          <w:spacing w:val="-4"/>
          <w:sz w:val="32"/>
          <w:szCs w:val="32"/>
        </w:rPr>
        <w:br/>
        <w:t>5.制度执行有效性</w:t>
      </w:r>
      <w:r>
        <w:rPr>
          <w:rStyle w:val="ad"/>
          <w:rFonts w:ascii="楷体" w:eastAsia="楷体" w:hAnsi="楷体" w:hint="eastAsia"/>
          <w:b w:val="0"/>
          <w:bCs w:val="0"/>
          <w:spacing w:val="-4"/>
          <w:sz w:val="32"/>
          <w:szCs w:val="32"/>
        </w:rPr>
        <w:br/>
        <w:t>经对比分析本项目实际执行过程资料和已建立的项目管理制度和财务管理制度，得出本项目严格按照本单位已建立制度执行。项目资金支出严格按照自治区以及本单位资金管理办法执行；其中：</w:t>
      </w:r>
      <w:r>
        <w:rPr>
          <w:rStyle w:val="ad"/>
          <w:rFonts w:ascii="楷体" w:eastAsia="楷体" w:hAnsi="楷体" w:hint="eastAsia"/>
          <w:b w:val="0"/>
          <w:bCs w:val="0"/>
          <w:spacing w:val="-4"/>
          <w:sz w:val="32"/>
          <w:szCs w:val="32"/>
        </w:rPr>
        <w:br/>
        <w:t>5.1项目的审批、招标、建设、验收过程均遵守相关法律法规和相关管理规定；</w:t>
      </w:r>
      <w:r>
        <w:rPr>
          <w:rStyle w:val="ad"/>
          <w:rFonts w:ascii="楷体" w:eastAsia="楷体" w:hAnsi="楷体" w:hint="eastAsia"/>
          <w:b w:val="0"/>
          <w:bCs w:val="0"/>
          <w:spacing w:val="-4"/>
          <w:sz w:val="32"/>
          <w:szCs w:val="32"/>
        </w:rPr>
        <w:br/>
        <w:t>综上所述，本指标满分为2分，根据评分标准得2分，本项目所建立制度执行有效。</w:t>
      </w:r>
      <w:r>
        <w:rPr>
          <w:rStyle w:val="ad"/>
          <w:rFonts w:ascii="楷体" w:eastAsia="楷体" w:hAnsi="楷体" w:hint="eastAsia"/>
          <w:b w:val="0"/>
          <w:bCs w:val="0"/>
          <w:spacing w:val="-4"/>
          <w:sz w:val="32"/>
          <w:szCs w:val="32"/>
        </w:rPr>
        <w:br/>
        <w:t>5.2本项目</w:t>
      </w:r>
      <w:proofErr w:type="gramStart"/>
      <w:r>
        <w:rPr>
          <w:rStyle w:val="ad"/>
          <w:rFonts w:ascii="楷体" w:eastAsia="楷体" w:hAnsi="楷体" w:hint="eastAsia"/>
          <w:b w:val="0"/>
          <w:bCs w:val="0"/>
          <w:spacing w:val="-4"/>
          <w:sz w:val="32"/>
          <w:szCs w:val="32"/>
        </w:rPr>
        <w:t>无调整</w:t>
      </w:r>
      <w:proofErr w:type="gramEnd"/>
      <w:r>
        <w:rPr>
          <w:rStyle w:val="ad"/>
          <w:rFonts w:ascii="楷体" w:eastAsia="楷体" w:hAnsi="楷体" w:hint="eastAsia"/>
          <w:b w:val="0"/>
          <w:bCs w:val="0"/>
          <w:spacing w:val="-4"/>
          <w:sz w:val="32"/>
          <w:szCs w:val="32"/>
        </w:rPr>
        <w:t>情况</w:t>
      </w:r>
      <w:r>
        <w:rPr>
          <w:rStyle w:val="ad"/>
          <w:rFonts w:ascii="楷体" w:eastAsia="楷体" w:hAnsi="楷体" w:hint="eastAsia"/>
          <w:b w:val="0"/>
          <w:bCs w:val="0"/>
          <w:spacing w:val="-4"/>
          <w:sz w:val="32"/>
          <w:szCs w:val="32"/>
        </w:rPr>
        <w:br/>
        <w:t>5.3项目合同书、验收报告、技术鉴定等资料齐全并已及时归档；</w:t>
      </w:r>
      <w:r>
        <w:rPr>
          <w:rStyle w:val="ad"/>
          <w:rFonts w:ascii="楷体" w:eastAsia="楷体" w:hAnsi="楷体" w:hint="eastAsia"/>
          <w:b w:val="0"/>
          <w:bCs w:val="0"/>
          <w:spacing w:val="-4"/>
          <w:sz w:val="32"/>
          <w:szCs w:val="32"/>
        </w:rPr>
        <w:br/>
        <w:t>5.4项目实施的人员条件、场地设备、信息支撑等均已落实到位。</w:t>
      </w:r>
      <w:r>
        <w:rPr>
          <w:rStyle w:val="ad"/>
          <w:rFonts w:ascii="楷体" w:eastAsia="楷体" w:hAnsi="楷体" w:hint="eastAsia"/>
          <w:b w:val="0"/>
          <w:bCs w:val="0"/>
          <w:spacing w:val="-4"/>
          <w:sz w:val="32"/>
          <w:szCs w:val="32"/>
        </w:rPr>
        <w:br/>
        <w:t>综上所述，本指标满分为2分，根据评分标准得2分，本项目所建立制度执行有效。</w:t>
      </w:r>
    </w:p>
    <w:p w14:paraId="6BE96BBA" w14:textId="77777777" w:rsidR="004E6D7E"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4D6A957" w14:textId="77777777" w:rsidR="004E6D7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我单位重大传染病防控经费项目截止到2024年12月31日，已完成建立3个健康小屋，结核病宣传1次，包虫病B超筛查9600人数，饮用水监测2轮，家犬驱虫12轮，结核病患者规范管理率95%，通过结核病、艾滋病、包虫病筛查、患者服用药物，提升防治工作质量，降低结核病发病和死亡；通过精神卫生工作，保证精神障碍患者享受精神卫生服务，维护和促进患者心理健康；其中：</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br/>
        <w:t>1.数量指标完成情况分析</w:t>
      </w:r>
      <w:r>
        <w:rPr>
          <w:rStyle w:val="ad"/>
          <w:rFonts w:ascii="楷体" w:eastAsia="楷体" w:hAnsi="楷体" w:hint="eastAsia"/>
          <w:b w:val="0"/>
          <w:bCs w:val="0"/>
          <w:spacing w:val="-4"/>
          <w:sz w:val="32"/>
          <w:szCs w:val="32"/>
        </w:rPr>
        <w:br/>
        <w:t>指标1：建立健康小屋数量，预期指标值：≥3个，实际完成值3个，指标完成率100%；</w:t>
      </w:r>
      <w:r>
        <w:rPr>
          <w:rStyle w:val="ad"/>
          <w:rFonts w:ascii="楷体" w:eastAsia="楷体" w:hAnsi="楷体" w:hint="eastAsia"/>
          <w:b w:val="0"/>
          <w:bCs w:val="0"/>
          <w:spacing w:val="-4"/>
          <w:sz w:val="32"/>
          <w:szCs w:val="32"/>
        </w:rPr>
        <w:br/>
        <w:t>指标2：结核病宣传次数，预期指标值：≥1个，实际完成值1个，指标完成率100%；</w:t>
      </w:r>
      <w:r>
        <w:rPr>
          <w:rStyle w:val="ad"/>
          <w:rFonts w:ascii="楷体" w:eastAsia="楷体" w:hAnsi="楷体" w:hint="eastAsia"/>
          <w:b w:val="0"/>
          <w:bCs w:val="0"/>
          <w:spacing w:val="-4"/>
          <w:sz w:val="32"/>
          <w:szCs w:val="32"/>
        </w:rPr>
        <w:br/>
        <w:t>指标3：包虫病B超筛查人数，预期指标值：≥9600人，实际完成值9600人，指标完成率100%；</w:t>
      </w:r>
      <w:r>
        <w:rPr>
          <w:rStyle w:val="ad"/>
          <w:rFonts w:ascii="楷体" w:eastAsia="楷体" w:hAnsi="楷体" w:hint="eastAsia"/>
          <w:b w:val="0"/>
          <w:bCs w:val="0"/>
          <w:spacing w:val="-4"/>
          <w:sz w:val="32"/>
          <w:szCs w:val="32"/>
        </w:rPr>
        <w:br/>
        <w:t>指标4：饮用水监测次数，预期指标值：≥2轮，实际完成值5轮，指标完成率250%；</w:t>
      </w:r>
      <w:r>
        <w:rPr>
          <w:rStyle w:val="ad"/>
          <w:rFonts w:ascii="楷体" w:eastAsia="楷体" w:hAnsi="楷体" w:hint="eastAsia"/>
          <w:b w:val="0"/>
          <w:bCs w:val="0"/>
          <w:spacing w:val="-4"/>
          <w:sz w:val="32"/>
          <w:szCs w:val="32"/>
        </w:rPr>
        <w:br/>
        <w:t>指标5：家犬驱虫次数，预期指标值：≥12轮，实际完成值12轮，指标完成率100%；</w:t>
      </w:r>
      <w:r>
        <w:rPr>
          <w:rStyle w:val="ad"/>
          <w:rFonts w:ascii="楷体" w:eastAsia="楷体" w:hAnsi="楷体" w:hint="eastAsia"/>
          <w:b w:val="0"/>
          <w:bCs w:val="0"/>
          <w:spacing w:val="-4"/>
          <w:sz w:val="32"/>
          <w:szCs w:val="32"/>
        </w:rPr>
        <w:br/>
        <w:t>指标6：布病高危人群筛查人数，预期指标值：≥1700人，实际完成值1700人，指标完成率100%；</w:t>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br/>
        <w:t>2.质量指标完成情况分析</w:t>
      </w:r>
      <w:r>
        <w:rPr>
          <w:rStyle w:val="ad"/>
          <w:rFonts w:ascii="楷体" w:eastAsia="楷体" w:hAnsi="楷体" w:hint="eastAsia"/>
          <w:b w:val="0"/>
          <w:bCs w:val="0"/>
          <w:spacing w:val="-4"/>
          <w:sz w:val="32"/>
          <w:szCs w:val="32"/>
        </w:rPr>
        <w:br/>
        <w:t>指标1：结核病患者规范管理率，预期指标值：≥95%，实际完成值95%，指标完成率100%；</w:t>
      </w:r>
      <w:r>
        <w:rPr>
          <w:rStyle w:val="ad"/>
          <w:rFonts w:ascii="楷体" w:eastAsia="楷体" w:hAnsi="楷体" w:hint="eastAsia"/>
          <w:b w:val="0"/>
          <w:bCs w:val="0"/>
          <w:spacing w:val="-4"/>
          <w:sz w:val="32"/>
          <w:szCs w:val="32"/>
        </w:rPr>
        <w:br/>
        <w:t>指标2：布病患者规范管理率，预期指标值：≥95%，实际完成值95%，指标完成率100%。</w:t>
      </w:r>
      <w:r>
        <w:rPr>
          <w:rStyle w:val="ad"/>
          <w:rFonts w:ascii="楷体" w:eastAsia="楷体" w:hAnsi="楷体" w:hint="eastAsia"/>
          <w:b w:val="0"/>
          <w:bCs w:val="0"/>
          <w:spacing w:val="-4"/>
          <w:sz w:val="32"/>
          <w:szCs w:val="32"/>
        </w:rPr>
        <w:br/>
        <w:t>综上所述，本指标满分为15分，根据评分标准得15分。</w:t>
      </w:r>
      <w:r>
        <w:rPr>
          <w:rStyle w:val="ad"/>
          <w:rFonts w:ascii="楷体" w:eastAsia="楷体" w:hAnsi="楷体" w:hint="eastAsia"/>
          <w:b w:val="0"/>
          <w:bCs w:val="0"/>
          <w:spacing w:val="-4"/>
          <w:sz w:val="32"/>
          <w:szCs w:val="32"/>
        </w:rPr>
        <w:br/>
        <w:t>3.时效指标完成情况分析</w:t>
      </w:r>
      <w:r>
        <w:rPr>
          <w:rStyle w:val="ad"/>
          <w:rFonts w:ascii="楷体" w:eastAsia="楷体" w:hAnsi="楷体" w:hint="eastAsia"/>
          <w:b w:val="0"/>
          <w:bCs w:val="0"/>
          <w:spacing w:val="-4"/>
          <w:sz w:val="32"/>
          <w:szCs w:val="32"/>
        </w:rPr>
        <w:br/>
        <w:t>指标1：数据上报及时率，预期指标值：=100%，实际完成值100%，指标完成率100%。</w:t>
      </w:r>
      <w:r>
        <w:rPr>
          <w:rStyle w:val="ad"/>
          <w:rFonts w:ascii="楷体" w:eastAsia="楷体" w:hAnsi="楷体" w:hint="eastAsia"/>
          <w:b w:val="0"/>
          <w:bCs w:val="0"/>
          <w:spacing w:val="-4"/>
          <w:sz w:val="32"/>
          <w:szCs w:val="32"/>
        </w:rPr>
        <w:br/>
        <w:t>综上所述，本指标满分为15分，根据评分标准得15分。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4.项目成本情况分析</w:t>
      </w:r>
      <w:r>
        <w:rPr>
          <w:rStyle w:val="ad"/>
          <w:rFonts w:ascii="楷体" w:eastAsia="楷体" w:hAnsi="楷体" w:hint="eastAsia"/>
          <w:b w:val="0"/>
          <w:bCs w:val="0"/>
          <w:spacing w:val="-4"/>
          <w:sz w:val="32"/>
          <w:szCs w:val="32"/>
        </w:rPr>
        <w:br/>
        <w:t>指标1：免疫规划成本，预期指标值：≤3万元，实际完成值3万元，指标完成率100%；</w:t>
      </w:r>
      <w:r>
        <w:rPr>
          <w:rStyle w:val="ad"/>
          <w:rFonts w:ascii="楷体" w:eastAsia="楷体" w:hAnsi="楷体" w:hint="eastAsia"/>
          <w:b w:val="0"/>
          <w:bCs w:val="0"/>
          <w:spacing w:val="-4"/>
          <w:sz w:val="32"/>
          <w:szCs w:val="32"/>
        </w:rPr>
        <w:br/>
        <w:t>指标2：结核病防治成本，预期指标值：≤12.9万元，实际完成值12.9万元，指标完成率100%；</w:t>
      </w:r>
      <w:r>
        <w:rPr>
          <w:rStyle w:val="ad"/>
          <w:rFonts w:ascii="楷体" w:eastAsia="楷体" w:hAnsi="楷体" w:hint="eastAsia"/>
          <w:b w:val="0"/>
          <w:bCs w:val="0"/>
          <w:spacing w:val="-4"/>
          <w:sz w:val="32"/>
          <w:szCs w:val="32"/>
        </w:rPr>
        <w:br/>
        <w:t>指标3：艾滋病防治成本，预期指标值：≤6.02万元，实际完成值6.02万元，指标完成率100%；</w:t>
      </w:r>
      <w:r>
        <w:rPr>
          <w:rStyle w:val="ad"/>
          <w:rFonts w:ascii="楷体" w:eastAsia="楷体" w:hAnsi="楷体" w:hint="eastAsia"/>
          <w:b w:val="0"/>
          <w:bCs w:val="0"/>
          <w:spacing w:val="-4"/>
          <w:sz w:val="32"/>
          <w:szCs w:val="32"/>
        </w:rPr>
        <w:br/>
        <w:t>指标4：慢病防控成本，预期指标值：≤5.50万元，实际完成值5.50万元，指标完成率100%；</w:t>
      </w:r>
      <w:r>
        <w:rPr>
          <w:rStyle w:val="ad"/>
          <w:rFonts w:ascii="楷体" w:eastAsia="楷体" w:hAnsi="楷体" w:hint="eastAsia"/>
          <w:b w:val="0"/>
          <w:bCs w:val="0"/>
          <w:spacing w:val="-4"/>
          <w:sz w:val="32"/>
          <w:szCs w:val="32"/>
        </w:rPr>
        <w:br/>
        <w:t>指标5：精神卫生成本，预期指标值：≤0.35万元，实际完成值0.35万元，指标完成率100%；</w:t>
      </w:r>
      <w:r>
        <w:rPr>
          <w:rStyle w:val="ad"/>
          <w:rFonts w:ascii="楷体" w:eastAsia="楷体" w:hAnsi="楷体" w:hint="eastAsia"/>
          <w:b w:val="0"/>
          <w:bCs w:val="0"/>
          <w:spacing w:val="-4"/>
          <w:sz w:val="32"/>
          <w:szCs w:val="32"/>
        </w:rPr>
        <w:br/>
        <w:t>指标6：包虫病防治成本，预期指标值：≤34.1万元，实际完成值34.1万元，指标完成率100%；</w:t>
      </w:r>
      <w:r>
        <w:rPr>
          <w:rStyle w:val="ad"/>
          <w:rFonts w:ascii="楷体" w:eastAsia="楷体" w:hAnsi="楷体" w:hint="eastAsia"/>
          <w:b w:val="0"/>
          <w:bCs w:val="0"/>
          <w:spacing w:val="-4"/>
          <w:sz w:val="32"/>
          <w:szCs w:val="32"/>
        </w:rPr>
        <w:br/>
        <w:t>指标7：学生常见病成本，预期指标值：≤10.3万元，实际完成值10.3万元，指标完成率100%；</w:t>
      </w:r>
      <w:r>
        <w:rPr>
          <w:rStyle w:val="ad"/>
          <w:rFonts w:ascii="楷体" w:eastAsia="楷体" w:hAnsi="楷体" w:hint="eastAsia"/>
          <w:b w:val="0"/>
          <w:bCs w:val="0"/>
          <w:spacing w:val="-4"/>
          <w:sz w:val="32"/>
          <w:szCs w:val="32"/>
        </w:rPr>
        <w:br/>
        <w:t>指标8：食品安全保障成本，预期指标值：≤0.40万元，实际完成值0.40万元，指标完成率100%；</w:t>
      </w:r>
      <w:r>
        <w:rPr>
          <w:rStyle w:val="ad"/>
          <w:rFonts w:ascii="楷体" w:eastAsia="楷体" w:hAnsi="楷体" w:hint="eastAsia"/>
          <w:b w:val="0"/>
          <w:bCs w:val="0"/>
          <w:spacing w:val="-4"/>
          <w:sz w:val="32"/>
          <w:szCs w:val="32"/>
        </w:rPr>
        <w:br/>
        <w:t>指标9：饮用水卫生监测成本，预期指标值：≤21.50万元，实际完成值21.50万元，指标完成率100%；</w:t>
      </w:r>
      <w:r>
        <w:rPr>
          <w:rStyle w:val="ad"/>
          <w:rFonts w:ascii="楷体" w:eastAsia="楷体" w:hAnsi="楷体" w:hint="eastAsia"/>
          <w:b w:val="0"/>
          <w:bCs w:val="0"/>
          <w:spacing w:val="-4"/>
          <w:sz w:val="32"/>
          <w:szCs w:val="32"/>
        </w:rPr>
        <w:br/>
        <w:t>指标10：布病监测成本，预期指标值：≤26.50万元，实际完成值26.50万元，指标完成率100%；</w:t>
      </w:r>
      <w:r>
        <w:rPr>
          <w:rStyle w:val="ad"/>
          <w:rFonts w:ascii="楷体" w:eastAsia="楷体" w:hAnsi="楷体" w:hint="eastAsia"/>
          <w:b w:val="0"/>
          <w:bCs w:val="0"/>
          <w:spacing w:val="-4"/>
          <w:sz w:val="32"/>
          <w:szCs w:val="32"/>
        </w:rPr>
        <w:br/>
        <w:t>指标11：能力提升建设项目，预期指标值：≤17万元，实际完成值17万元，指标完成率100%。</w:t>
      </w:r>
      <w:r>
        <w:rPr>
          <w:rStyle w:val="ad"/>
          <w:rFonts w:ascii="楷体" w:eastAsia="楷体" w:hAnsi="楷体" w:hint="eastAsia"/>
          <w:b w:val="0"/>
          <w:bCs w:val="0"/>
          <w:spacing w:val="-4"/>
          <w:sz w:val="32"/>
          <w:szCs w:val="32"/>
        </w:rPr>
        <w:br/>
        <w:t>综上所述，本指标满分为10分，根据评分标准得10分。</w:t>
      </w:r>
    </w:p>
    <w:p w14:paraId="6A2B68A9" w14:textId="77777777" w:rsidR="004E6D7E"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1E5B178E" w14:textId="77777777" w:rsidR="004E6D7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lastRenderedPageBreak/>
        <w:t>我单位重大传染病防控经费项目截止到2024年12月31日，已完成犬驱虫工作；其中：</w:t>
      </w:r>
      <w:r>
        <w:rPr>
          <w:rStyle w:val="ad"/>
          <w:rFonts w:ascii="楷体" w:eastAsia="楷体" w:hAnsi="楷体" w:hint="eastAsia"/>
          <w:b w:val="0"/>
          <w:bCs w:val="0"/>
          <w:spacing w:val="-4"/>
          <w:sz w:val="32"/>
          <w:szCs w:val="32"/>
        </w:rPr>
        <w:br/>
        <w:t>1.经济效益指标完成情况分析：</w:t>
      </w:r>
      <w:r>
        <w:rPr>
          <w:rStyle w:val="ad"/>
          <w:rFonts w:ascii="楷体" w:eastAsia="楷体" w:hAnsi="楷体" w:hint="eastAsia"/>
          <w:b w:val="0"/>
          <w:bCs w:val="0"/>
          <w:spacing w:val="-4"/>
          <w:sz w:val="32"/>
          <w:szCs w:val="32"/>
        </w:rPr>
        <w:br/>
        <w:t>本项目无该指标。</w:t>
      </w:r>
      <w:r>
        <w:rPr>
          <w:rStyle w:val="ad"/>
          <w:rFonts w:ascii="楷体" w:eastAsia="楷体" w:hAnsi="楷体" w:hint="eastAsia"/>
          <w:b w:val="0"/>
          <w:bCs w:val="0"/>
          <w:spacing w:val="-4"/>
          <w:sz w:val="32"/>
          <w:szCs w:val="32"/>
        </w:rPr>
        <w:br/>
        <w:t>2.社会效益指标完成情况分析</w:t>
      </w:r>
      <w:r>
        <w:rPr>
          <w:rStyle w:val="ad"/>
          <w:rFonts w:ascii="楷体" w:eastAsia="楷体" w:hAnsi="楷体" w:hint="eastAsia"/>
          <w:b w:val="0"/>
          <w:bCs w:val="0"/>
          <w:spacing w:val="-4"/>
          <w:sz w:val="32"/>
          <w:szCs w:val="32"/>
        </w:rPr>
        <w:br/>
        <w:t>指标1：犬驱虫覆盖率，预期指标值：≥90%，实际完成值90%，指标完成率100%（指标完成率=（实际完成值/指标值）*100%）。</w:t>
      </w:r>
      <w:r>
        <w:rPr>
          <w:rStyle w:val="ad"/>
          <w:rFonts w:ascii="楷体" w:eastAsia="楷体" w:hAnsi="楷体" w:hint="eastAsia"/>
          <w:b w:val="0"/>
          <w:bCs w:val="0"/>
          <w:spacing w:val="-4"/>
          <w:sz w:val="32"/>
          <w:szCs w:val="32"/>
        </w:rPr>
        <w:br/>
        <w:t>综上所述，本指标满分为20分，根据评分标准得20分。</w:t>
      </w:r>
      <w:r>
        <w:rPr>
          <w:rStyle w:val="ad"/>
          <w:rFonts w:ascii="楷体" w:eastAsia="楷体" w:hAnsi="楷体" w:hint="eastAsia"/>
          <w:b w:val="0"/>
          <w:bCs w:val="0"/>
          <w:spacing w:val="-4"/>
          <w:sz w:val="32"/>
          <w:szCs w:val="32"/>
        </w:rPr>
        <w:br/>
        <w:t>3.项目实施的生态效益分析</w:t>
      </w:r>
      <w:r>
        <w:rPr>
          <w:rStyle w:val="ad"/>
          <w:rFonts w:ascii="楷体" w:eastAsia="楷体" w:hAnsi="楷体" w:hint="eastAsia"/>
          <w:b w:val="0"/>
          <w:bCs w:val="0"/>
          <w:spacing w:val="-4"/>
          <w:sz w:val="32"/>
          <w:szCs w:val="32"/>
        </w:rPr>
        <w:br/>
        <w:t>本项目未设置该指标。</w:t>
      </w:r>
    </w:p>
    <w:p w14:paraId="27A3553D" w14:textId="77777777" w:rsidR="004E6D7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满意度情况分析</w:t>
      </w:r>
      <w:r>
        <w:rPr>
          <w:rStyle w:val="ad"/>
          <w:rFonts w:ascii="楷体" w:eastAsia="楷体" w:hAnsi="楷体" w:hint="eastAsia"/>
          <w:b w:val="0"/>
          <w:bCs w:val="0"/>
          <w:spacing w:val="-4"/>
          <w:sz w:val="32"/>
          <w:szCs w:val="32"/>
        </w:rPr>
        <w:br/>
        <w:t>因本项目为单位工作经费，不直接面向于社会公众，故本项目未设置满意度指标。</w:t>
      </w:r>
    </w:p>
    <w:p w14:paraId="4009D6E8" w14:textId="77777777" w:rsidR="004E6D7E" w:rsidRDefault="004E6D7E">
      <w:pPr>
        <w:spacing w:line="540" w:lineRule="exact"/>
        <w:ind w:firstLine="567"/>
        <w:rPr>
          <w:rStyle w:val="ad"/>
          <w:rFonts w:ascii="楷体" w:eastAsia="楷体" w:hAnsi="楷体" w:hint="eastAsia"/>
          <w:b w:val="0"/>
          <w:bCs w:val="0"/>
          <w:spacing w:val="-4"/>
          <w:sz w:val="32"/>
          <w:szCs w:val="32"/>
        </w:rPr>
      </w:pPr>
    </w:p>
    <w:p w14:paraId="548662A3" w14:textId="77777777" w:rsidR="004E6D7E" w:rsidRDefault="004E6D7E">
      <w:pPr>
        <w:spacing w:line="540" w:lineRule="exact"/>
        <w:ind w:firstLine="567"/>
        <w:rPr>
          <w:rStyle w:val="ad"/>
          <w:rFonts w:ascii="楷体" w:eastAsia="楷体" w:hAnsi="楷体" w:hint="eastAsia"/>
          <w:spacing w:val="-4"/>
          <w:sz w:val="32"/>
          <w:szCs w:val="32"/>
        </w:rPr>
      </w:pPr>
    </w:p>
    <w:p w14:paraId="4282F7AF" w14:textId="77777777" w:rsidR="004E6D7E" w:rsidRDefault="00000000">
      <w:pPr>
        <w:numPr>
          <w:ilvl w:val="0"/>
          <w:numId w:val="1"/>
        </w:num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主要经验及做法、存在的问题及原因分析</w:t>
      </w:r>
    </w:p>
    <w:p w14:paraId="3564C0B4" w14:textId="77777777" w:rsidR="004E6D7E"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r>
      <w:r>
        <w:rPr>
          <w:rStyle w:val="ad"/>
          <w:rFonts w:ascii="楷体" w:eastAsia="楷体" w:hAnsi="楷体" w:hint="eastAsia"/>
          <w:b w:val="0"/>
          <w:bCs w:val="0"/>
          <w:spacing w:val="-4"/>
          <w:sz w:val="32"/>
          <w:szCs w:val="32"/>
        </w:rPr>
        <w:br/>
        <w:t>1.统筹资源高效配置：中央资金通过统一规划，分级实施机制，集中调配疫苗研发、医疗设备、检测试剂等资源，快速响应疫情。</w:t>
      </w:r>
      <w:r>
        <w:rPr>
          <w:rStyle w:val="ad"/>
          <w:rFonts w:ascii="楷体" w:eastAsia="楷体" w:hAnsi="楷体" w:hint="eastAsia"/>
          <w:b w:val="0"/>
          <w:bCs w:val="0"/>
          <w:spacing w:val="-4"/>
          <w:sz w:val="32"/>
          <w:szCs w:val="32"/>
        </w:rPr>
        <w:br/>
        <w:t>2.多部门协同联动机制：建立卫生、财政、科研、交通等跨部门协作体系，实时信息共享与应急响应无缝衔接。</w:t>
      </w:r>
      <w:r>
        <w:rPr>
          <w:rStyle w:val="ad"/>
          <w:rFonts w:ascii="楷体" w:eastAsia="楷体" w:hAnsi="楷体" w:hint="eastAsia"/>
          <w:b w:val="0"/>
          <w:bCs w:val="0"/>
          <w:spacing w:val="-4"/>
          <w:sz w:val="32"/>
          <w:szCs w:val="32"/>
        </w:rPr>
        <w:br/>
        <w:t>3.基层防控能提升：资金向基层医疗机构倾斜，完善发热门诊，隔离病房等基础设施，培训基层医护人员。</w:t>
      </w:r>
      <w:r>
        <w:rPr>
          <w:rStyle w:val="ad"/>
          <w:rFonts w:ascii="楷体" w:eastAsia="楷体" w:hAnsi="楷体" w:hint="eastAsia"/>
          <w:b w:val="0"/>
          <w:bCs w:val="0"/>
          <w:spacing w:val="-4"/>
          <w:sz w:val="32"/>
          <w:szCs w:val="32"/>
        </w:rPr>
        <w:br/>
        <w:t>（二）存在问题及分析</w:t>
      </w:r>
      <w:r>
        <w:rPr>
          <w:rStyle w:val="ad"/>
          <w:rFonts w:ascii="楷体" w:eastAsia="楷体" w:hAnsi="楷体" w:hint="eastAsia"/>
          <w:b w:val="0"/>
          <w:bCs w:val="0"/>
          <w:spacing w:val="-4"/>
          <w:sz w:val="32"/>
          <w:szCs w:val="32"/>
        </w:rPr>
        <w:br/>
        <w:t>1.资金分配精准度不足：部分地区村子一刀切分配，未充分考虑</w:t>
      </w:r>
      <w:r>
        <w:rPr>
          <w:rStyle w:val="ad"/>
          <w:rFonts w:ascii="楷体" w:eastAsia="楷体" w:hAnsi="楷体" w:hint="eastAsia"/>
          <w:b w:val="0"/>
          <w:bCs w:val="0"/>
          <w:spacing w:val="-4"/>
          <w:sz w:val="32"/>
          <w:szCs w:val="32"/>
        </w:rPr>
        <w:lastRenderedPageBreak/>
        <w:t>不同地区传染病风险差异。</w:t>
      </w:r>
      <w:r>
        <w:rPr>
          <w:rStyle w:val="ad"/>
          <w:rFonts w:ascii="楷体" w:eastAsia="楷体" w:hAnsi="楷体" w:hint="eastAsia"/>
          <w:b w:val="0"/>
          <w:bCs w:val="0"/>
          <w:spacing w:val="-4"/>
          <w:sz w:val="32"/>
          <w:szCs w:val="32"/>
        </w:rPr>
        <w:br/>
        <w:t>2.资金使用效率待提升：部分项目因审批流程复杂，采购周期长，导致资金闲置或者延误。</w:t>
      </w:r>
      <w:r>
        <w:rPr>
          <w:rStyle w:val="ad"/>
          <w:rFonts w:ascii="楷体" w:eastAsia="楷体" w:hAnsi="楷体" w:hint="eastAsia"/>
          <w:b w:val="0"/>
          <w:bCs w:val="0"/>
          <w:spacing w:val="-4"/>
          <w:sz w:val="32"/>
          <w:szCs w:val="32"/>
        </w:rPr>
        <w:br/>
        <w:t>3.基层执行能力存在短板：部分基层单位缺乏专业管理人员，资金使用不规范、账目混乱等问题频发。</w:t>
      </w:r>
    </w:p>
    <w:p w14:paraId="754181D8" w14:textId="77777777" w:rsidR="004E6D7E"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6D1F2E1B" w14:textId="77777777" w:rsidR="004E6D7E"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b w:val="0"/>
          <w:bCs w:val="0"/>
          <w:spacing w:val="-4"/>
          <w:sz w:val="32"/>
          <w:szCs w:val="32"/>
        </w:rPr>
        <w:t>1.优化资金分配机制：建立动态评估体系，结合区域人口密度、医疗资源、传染病流行史等因素，科学测算资金需求、实施差异化分配，重点支持高风险地区和薄弱环节。</w:t>
      </w:r>
      <w:r>
        <w:rPr>
          <w:rStyle w:val="ad"/>
          <w:rFonts w:ascii="楷体" w:eastAsia="楷体" w:hAnsi="楷体" w:hint="eastAsia"/>
          <w:b w:val="0"/>
          <w:bCs w:val="0"/>
          <w:spacing w:val="-4"/>
          <w:sz w:val="32"/>
          <w:szCs w:val="32"/>
        </w:rPr>
        <w:br/>
        <w:t>2.简化审批流程，强化绩效管理：推行绿色通道快速审批机制，缩短至今拨付物资采购周期，引入第三方绩效评估。</w:t>
      </w:r>
      <w:r>
        <w:rPr>
          <w:rStyle w:val="ad"/>
          <w:rFonts w:ascii="楷体" w:eastAsia="楷体" w:hAnsi="楷体" w:hint="eastAsia"/>
          <w:b w:val="0"/>
          <w:bCs w:val="0"/>
          <w:spacing w:val="-4"/>
          <w:sz w:val="32"/>
          <w:szCs w:val="32"/>
        </w:rPr>
        <w:br/>
        <w:t>3.加强基层能力建设：设立专项培训资金，定期开展财务管理、项目实施等培训。</w:t>
      </w:r>
    </w:p>
    <w:p w14:paraId="6038BEB6" w14:textId="77777777" w:rsidR="004E6D7E"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7BF94486" w14:textId="77777777" w:rsidR="004E6D7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1.本次预算绩效评价所采集的数据因为采集时间、数据来源等诸多因素的影响，可能会出现一定的偏差，进而对评价结果存在影响；</w:t>
      </w:r>
    </w:p>
    <w:p w14:paraId="24C6C4EA" w14:textId="77777777" w:rsidR="004E6D7E" w:rsidRDefault="004E6D7E">
      <w:pPr>
        <w:spacing w:line="540" w:lineRule="exact"/>
        <w:ind w:firstLine="567"/>
        <w:rPr>
          <w:rStyle w:val="ad"/>
          <w:rFonts w:ascii="仿宋" w:eastAsia="仿宋" w:hAnsi="仿宋" w:hint="eastAsia"/>
          <w:b w:val="0"/>
          <w:spacing w:val="-4"/>
          <w:sz w:val="32"/>
          <w:szCs w:val="32"/>
        </w:rPr>
      </w:pPr>
    </w:p>
    <w:p w14:paraId="787CFEC6" w14:textId="77777777" w:rsidR="004E6D7E" w:rsidRDefault="004E6D7E">
      <w:pPr>
        <w:spacing w:line="540" w:lineRule="exact"/>
        <w:ind w:firstLine="567"/>
        <w:rPr>
          <w:rStyle w:val="ad"/>
          <w:rFonts w:ascii="仿宋" w:eastAsia="仿宋" w:hAnsi="仿宋" w:hint="eastAsia"/>
          <w:b w:val="0"/>
          <w:spacing w:val="-4"/>
          <w:sz w:val="32"/>
          <w:szCs w:val="32"/>
        </w:rPr>
      </w:pPr>
    </w:p>
    <w:p w14:paraId="6E46F3DA" w14:textId="77777777" w:rsidR="004E6D7E" w:rsidRDefault="004E6D7E">
      <w:pPr>
        <w:spacing w:line="540" w:lineRule="exact"/>
        <w:ind w:firstLine="567"/>
        <w:rPr>
          <w:rStyle w:val="ad"/>
          <w:rFonts w:ascii="仿宋" w:eastAsia="仿宋" w:hAnsi="仿宋" w:hint="eastAsia"/>
          <w:b w:val="0"/>
          <w:spacing w:val="-4"/>
          <w:sz w:val="32"/>
          <w:szCs w:val="32"/>
        </w:rPr>
      </w:pPr>
    </w:p>
    <w:p w14:paraId="3305F133" w14:textId="77777777" w:rsidR="004E6D7E" w:rsidRDefault="004E6D7E">
      <w:pPr>
        <w:spacing w:line="540" w:lineRule="exact"/>
        <w:ind w:firstLine="567"/>
        <w:rPr>
          <w:rStyle w:val="ad"/>
          <w:rFonts w:ascii="仿宋" w:eastAsia="仿宋" w:hAnsi="仿宋" w:hint="eastAsia"/>
          <w:b w:val="0"/>
          <w:spacing w:val="-4"/>
          <w:sz w:val="32"/>
          <w:szCs w:val="32"/>
        </w:rPr>
      </w:pPr>
    </w:p>
    <w:p w14:paraId="060306E0" w14:textId="77777777" w:rsidR="004E6D7E" w:rsidRDefault="004E6D7E">
      <w:pPr>
        <w:spacing w:line="540" w:lineRule="exact"/>
        <w:ind w:firstLine="567"/>
        <w:rPr>
          <w:rStyle w:val="ad"/>
          <w:rFonts w:ascii="仿宋" w:eastAsia="仿宋" w:hAnsi="仿宋" w:hint="eastAsia"/>
          <w:b w:val="0"/>
          <w:spacing w:val="-4"/>
          <w:sz w:val="32"/>
          <w:szCs w:val="32"/>
        </w:rPr>
      </w:pPr>
    </w:p>
    <w:sectPr w:rsidR="004E6D7E">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A3EEE8" w14:textId="77777777" w:rsidR="000A2450" w:rsidRDefault="000A2450">
      <w:r>
        <w:separator/>
      </w:r>
    </w:p>
  </w:endnote>
  <w:endnote w:type="continuationSeparator" w:id="0">
    <w:p w14:paraId="78056E16" w14:textId="77777777" w:rsidR="000A2450" w:rsidRDefault="000A2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6CC1ECF0" w14:textId="77777777" w:rsidR="004E6D7E" w:rsidRDefault="00000000">
        <w:pPr>
          <w:pStyle w:val="a5"/>
          <w:jc w:val="center"/>
        </w:pPr>
        <w:r>
          <w:fldChar w:fldCharType="begin"/>
        </w:r>
        <w:r>
          <w:instrText>PAGE   \* MERGEFORMAT</w:instrText>
        </w:r>
        <w:r>
          <w:fldChar w:fldCharType="separate"/>
        </w:r>
        <w:r>
          <w:rPr>
            <w:lang w:val="zh-CN"/>
          </w:rPr>
          <w:t>2</w:t>
        </w:r>
        <w:r>
          <w:fldChar w:fldCharType="end"/>
        </w:r>
      </w:p>
    </w:sdtContent>
  </w:sdt>
  <w:p w14:paraId="66ABAFCB" w14:textId="77777777" w:rsidR="004E6D7E" w:rsidRDefault="004E6D7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A57784" w14:textId="77777777" w:rsidR="000A2450" w:rsidRDefault="000A2450">
      <w:r>
        <w:separator/>
      </w:r>
    </w:p>
  </w:footnote>
  <w:footnote w:type="continuationSeparator" w:id="0">
    <w:p w14:paraId="226F0C65" w14:textId="77777777" w:rsidR="000A2450" w:rsidRDefault="000A2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070038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0A2450"/>
    <w:rsid w:val="00102DFF"/>
    <w:rsid w:val="0012073C"/>
    <w:rsid w:val="00121AE4"/>
    <w:rsid w:val="00146AAD"/>
    <w:rsid w:val="00151FA7"/>
    <w:rsid w:val="001B3A40"/>
    <w:rsid w:val="00291BC0"/>
    <w:rsid w:val="00311DBE"/>
    <w:rsid w:val="004366A8"/>
    <w:rsid w:val="004E6D7E"/>
    <w:rsid w:val="00502BA7"/>
    <w:rsid w:val="005162F1"/>
    <w:rsid w:val="00535153"/>
    <w:rsid w:val="00554F82"/>
    <w:rsid w:val="0056390D"/>
    <w:rsid w:val="005719B0"/>
    <w:rsid w:val="005D10D6"/>
    <w:rsid w:val="00855E3A"/>
    <w:rsid w:val="0091457F"/>
    <w:rsid w:val="00922121"/>
    <w:rsid w:val="00922CB9"/>
    <w:rsid w:val="009A0637"/>
    <w:rsid w:val="009C654A"/>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CF0881"/>
  <w15:docId w15:val="{18FE68C4-3191-45E9-9AC3-F70FAEADD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20</Pages>
  <Words>5208</Words>
  <Characters>5625</Characters>
  <Application>Microsoft Office Word</Application>
  <DocSecurity>0</DocSecurity>
  <Lines>267</Lines>
  <Paragraphs>38</Paragraphs>
  <ScaleCrop>false</ScaleCrop>
  <Company/>
  <LinksUpToDate>false</LinksUpToDate>
  <CharactersWithSpaces>10795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2025-09-28T05:49:00Z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